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FE667">
      <w:pPr>
        <w:spacing w:before="56" w:line="220" w:lineRule="auto"/>
        <w:ind w:firstLine="2185" w:firstLineChars="800"/>
        <w:jc w:val="left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安徽师范大学皖江学院学分绩点说明</w:t>
      </w:r>
    </w:p>
    <w:p w14:paraId="57F500E7">
      <w:pPr>
        <w:spacing w:line="279" w:lineRule="auto"/>
        <w:rPr>
          <w:rFonts w:ascii="Arial"/>
          <w:sz w:val="21"/>
        </w:rPr>
      </w:pPr>
    </w:p>
    <w:p w14:paraId="0605DCF1">
      <w:pPr>
        <w:pStyle w:val="2"/>
        <w:spacing w:before="69" w:line="221" w:lineRule="auto"/>
        <w:ind w:left="13"/>
        <w:outlineLvl w:val="1"/>
        <w:rPr>
          <w:rFonts w:ascii="宋体" w:hAnsi="宋体" w:eastAsia="宋体" w:cs="宋体"/>
        </w:rPr>
      </w:pPr>
      <w:r>
        <w:rPr>
          <w:b/>
          <w:bCs/>
          <w:spacing w:val="-3"/>
        </w:rPr>
        <w:t>1</w:t>
      </w:r>
      <w:r>
        <w:rPr>
          <w:rFonts w:ascii="宋体" w:hAnsi="宋体" w:eastAsia="宋体" w:cs="宋体"/>
          <w:b/>
          <w:bCs/>
          <w:spacing w:val="-3"/>
        </w:rPr>
        <w:t>、成绩和等级的绩点系数折算</w:t>
      </w:r>
    </w:p>
    <w:p w14:paraId="7D8D1118">
      <w:pPr>
        <w:pStyle w:val="2"/>
        <w:spacing w:before="162" w:line="267" w:lineRule="auto"/>
        <w:ind w:left="8" w:firstLine="425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6"/>
        </w:rPr>
        <w:t>百分制</w:t>
      </w:r>
      <w:r>
        <w:rPr>
          <w:rFonts w:ascii="宋体" w:hAnsi="宋体" w:eastAsia="宋体" w:cs="宋体"/>
          <w:spacing w:val="-41"/>
        </w:rPr>
        <w:t xml:space="preserve"> </w:t>
      </w:r>
      <w:r>
        <w:rPr>
          <w:spacing w:val="-6"/>
        </w:rPr>
        <w:t>60</w:t>
      </w:r>
      <w:r>
        <w:rPr>
          <w:spacing w:val="17"/>
        </w:rPr>
        <w:t xml:space="preserve"> </w:t>
      </w:r>
      <w:r>
        <w:rPr>
          <w:rFonts w:ascii="宋体" w:hAnsi="宋体" w:eastAsia="宋体" w:cs="宋体"/>
          <w:spacing w:val="-6"/>
        </w:rPr>
        <w:t>分成绩折算绩点为</w:t>
      </w:r>
      <w:r>
        <w:rPr>
          <w:rFonts w:ascii="宋体" w:hAnsi="宋体" w:eastAsia="宋体" w:cs="宋体"/>
          <w:spacing w:val="-34"/>
        </w:rPr>
        <w:t xml:space="preserve"> </w:t>
      </w:r>
      <w:r>
        <w:rPr>
          <w:spacing w:val="-6"/>
        </w:rPr>
        <w:t>1.0</w:t>
      </w:r>
      <w:r>
        <w:rPr>
          <w:spacing w:val="-21"/>
        </w:rPr>
        <w:t xml:space="preserve"> </w:t>
      </w:r>
      <w:r>
        <w:rPr>
          <w:rFonts w:ascii="宋体" w:hAnsi="宋体" w:eastAsia="宋体" w:cs="宋体"/>
          <w:spacing w:val="-6"/>
        </w:rPr>
        <w:t>，</w:t>
      </w:r>
      <w:r>
        <w:rPr>
          <w:spacing w:val="-6"/>
        </w:rPr>
        <w:t>60</w:t>
      </w:r>
      <w:r>
        <w:rPr>
          <w:spacing w:val="14"/>
          <w:w w:val="101"/>
        </w:rPr>
        <w:t xml:space="preserve"> </w:t>
      </w:r>
      <w:r>
        <w:rPr>
          <w:rFonts w:ascii="宋体" w:hAnsi="宋体" w:eastAsia="宋体" w:cs="宋体"/>
          <w:spacing w:val="-6"/>
        </w:rPr>
        <w:t>分以上每增加</w:t>
      </w:r>
      <w:r>
        <w:rPr>
          <w:rFonts w:ascii="宋体" w:hAnsi="宋体" w:eastAsia="宋体" w:cs="宋体"/>
          <w:spacing w:val="-36"/>
        </w:rPr>
        <w:t xml:space="preserve"> </w:t>
      </w:r>
      <w:r>
        <w:rPr>
          <w:spacing w:val="-6"/>
        </w:rPr>
        <w:t>1</w:t>
      </w:r>
      <w:r>
        <w:rPr>
          <w:spacing w:val="17"/>
        </w:rPr>
        <w:t xml:space="preserve"> </w:t>
      </w:r>
      <w:r>
        <w:rPr>
          <w:rFonts w:ascii="宋体" w:hAnsi="宋体" w:eastAsia="宋体" w:cs="宋体"/>
          <w:spacing w:val="-6"/>
        </w:rPr>
        <w:t>分（不足</w:t>
      </w:r>
      <w:r>
        <w:rPr>
          <w:rFonts w:ascii="宋体" w:hAnsi="宋体" w:eastAsia="宋体" w:cs="宋体"/>
          <w:spacing w:val="-35"/>
        </w:rPr>
        <w:t xml:space="preserve"> </w:t>
      </w:r>
      <w:r>
        <w:rPr>
          <w:spacing w:val="-6"/>
        </w:rPr>
        <w:t>1</w:t>
      </w:r>
      <w:r>
        <w:rPr>
          <w:spacing w:val="15"/>
        </w:rPr>
        <w:t xml:space="preserve"> </w:t>
      </w:r>
      <w:r>
        <w:rPr>
          <w:rFonts w:ascii="宋体" w:hAnsi="宋体" w:eastAsia="宋体" w:cs="宋体"/>
          <w:spacing w:val="-6"/>
        </w:rPr>
        <w:t>分四舍五入</w:t>
      </w:r>
      <w:r>
        <w:rPr>
          <w:rFonts w:ascii="宋体" w:hAnsi="宋体" w:eastAsia="宋体" w:cs="宋体"/>
          <w:spacing w:val="-18"/>
        </w:rPr>
        <w:t>），</w:t>
      </w:r>
      <w:r>
        <w:rPr>
          <w:rFonts w:ascii="宋体" w:hAnsi="宋体" w:eastAsia="宋体" w:cs="宋体"/>
          <w:spacing w:val="-6"/>
        </w:rPr>
        <w:t>则绩点增加</w:t>
      </w:r>
      <w:r>
        <w:rPr>
          <w:rFonts w:ascii="宋体" w:hAnsi="宋体" w:eastAsia="宋体" w:cs="宋体"/>
          <w:spacing w:val="-45"/>
        </w:rPr>
        <w:t xml:space="preserve"> </w:t>
      </w:r>
      <w:r>
        <w:rPr>
          <w:spacing w:val="-6"/>
        </w:rPr>
        <w:t>0.1</w:t>
      </w:r>
      <w:r>
        <w:rPr>
          <w:rFonts w:ascii="宋体" w:hAnsi="宋体" w:eastAsia="宋体" w:cs="宋体"/>
          <w:spacing w:val="-6"/>
        </w:rPr>
        <w:t>。</w:t>
      </w:r>
      <w:r>
        <w:rPr>
          <w:rFonts w:ascii="宋体" w:hAnsi="宋体" w:eastAsia="宋体" w:cs="宋体"/>
        </w:rPr>
        <w:t xml:space="preserve"> </w:t>
      </w:r>
      <w:r>
        <w:rPr>
          <w:rFonts w:ascii="宋体" w:hAnsi="宋体" w:eastAsia="宋体" w:cs="宋体"/>
          <w:spacing w:val="-2"/>
        </w:rPr>
        <w:t>成绩和等级的绩点折算对照表如下：</w:t>
      </w:r>
    </w:p>
    <w:p w14:paraId="4DC5A071">
      <w:pPr>
        <w:spacing w:line="48" w:lineRule="exact"/>
      </w:pPr>
    </w:p>
    <w:tbl>
      <w:tblPr>
        <w:tblStyle w:val="6"/>
        <w:tblW w:w="0" w:type="auto"/>
        <w:tblInd w:w="63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4"/>
        <w:gridCol w:w="1843"/>
        <w:gridCol w:w="991"/>
        <w:gridCol w:w="1290"/>
        <w:gridCol w:w="947"/>
        <w:gridCol w:w="1281"/>
      </w:tblGrid>
      <w:tr w14:paraId="2E6BDB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564" w:type="dxa"/>
            <w:vAlign w:val="top"/>
          </w:tcPr>
          <w:p w14:paraId="532D9E04">
            <w:pPr>
              <w:spacing w:before="82" w:line="221" w:lineRule="auto"/>
              <w:ind w:left="2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百分制成绩</w:t>
            </w:r>
          </w:p>
        </w:tc>
        <w:tc>
          <w:tcPr>
            <w:tcW w:w="1843" w:type="dxa"/>
            <w:vAlign w:val="top"/>
          </w:tcPr>
          <w:p w14:paraId="1729EC86">
            <w:pPr>
              <w:spacing w:before="82" w:line="221" w:lineRule="auto"/>
              <w:ind w:left="5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对应绩点</w:t>
            </w:r>
          </w:p>
        </w:tc>
        <w:tc>
          <w:tcPr>
            <w:tcW w:w="991" w:type="dxa"/>
            <w:vAlign w:val="top"/>
          </w:tcPr>
          <w:p w14:paraId="47BD1310">
            <w:pPr>
              <w:spacing w:before="82" w:line="221" w:lineRule="auto"/>
              <w:ind w:left="1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五级制</w:t>
            </w:r>
          </w:p>
        </w:tc>
        <w:tc>
          <w:tcPr>
            <w:tcW w:w="1290" w:type="dxa"/>
            <w:vAlign w:val="top"/>
          </w:tcPr>
          <w:p w14:paraId="7120667E">
            <w:pPr>
              <w:spacing w:before="82" w:line="221" w:lineRule="auto"/>
              <w:ind w:left="2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对应绩点</w:t>
            </w:r>
          </w:p>
        </w:tc>
        <w:tc>
          <w:tcPr>
            <w:tcW w:w="947" w:type="dxa"/>
            <w:vAlign w:val="top"/>
          </w:tcPr>
          <w:p w14:paraId="60854517">
            <w:pPr>
              <w:spacing w:before="82" w:line="221" w:lineRule="auto"/>
              <w:ind w:left="1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二级制</w:t>
            </w:r>
          </w:p>
        </w:tc>
        <w:tc>
          <w:tcPr>
            <w:tcW w:w="1281" w:type="dxa"/>
            <w:vAlign w:val="top"/>
          </w:tcPr>
          <w:p w14:paraId="3271D0B8">
            <w:pPr>
              <w:spacing w:before="82" w:line="221" w:lineRule="auto"/>
              <w:ind w:left="2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对应绩点</w:t>
            </w:r>
          </w:p>
        </w:tc>
      </w:tr>
      <w:tr w14:paraId="71CF9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564" w:type="dxa"/>
            <w:vAlign w:val="top"/>
          </w:tcPr>
          <w:p w14:paraId="47CC1778">
            <w:pPr>
              <w:pStyle w:val="5"/>
              <w:spacing w:before="80" w:line="237" w:lineRule="auto"/>
              <w:ind w:left="212"/>
            </w:pPr>
            <w:r>
              <w:rPr>
                <w:spacing w:val="-1"/>
              </w:rPr>
              <w:t>90</w:t>
            </w:r>
            <w:r>
              <w:rPr>
                <w:rFonts w:ascii="宋体" w:hAnsi="宋体" w:eastAsia="宋体" w:cs="宋体"/>
                <w:spacing w:val="-1"/>
              </w:rPr>
              <w:t>～</w:t>
            </w:r>
            <w:r>
              <w:rPr>
                <w:spacing w:val="-1"/>
              </w:rPr>
              <w:t>95</w:t>
            </w:r>
            <w:r>
              <w:rPr>
                <w:rFonts w:ascii="宋体" w:hAnsi="宋体" w:eastAsia="宋体" w:cs="宋体"/>
                <w:spacing w:val="-1"/>
              </w:rPr>
              <w:t>～</w:t>
            </w:r>
            <w:r>
              <w:rPr>
                <w:spacing w:val="-1"/>
              </w:rPr>
              <w:t>100</w:t>
            </w:r>
          </w:p>
        </w:tc>
        <w:tc>
          <w:tcPr>
            <w:tcW w:w="1843" w:type="dxa"/>
            <w:vAlign w:val="top"/>
          </w:tcPr>
          <w:p w14:paraId="325B50C7">
            <w:pPr>
              <w:pStyle w:val="5"/>
              <w:spacing w:before="80" w:line="237" w:lineRule="auto"/>
              <w:ind w:left="316"/>
            </w:pPr>
            <w:r>
              <w:rPr>
                <w:spacing w:val="-1"/>
              </w:rPr>
              <w:t>4.0</w:t>
            </w:r>
            <w:r>
              <w:rPr>
                <w:rFonts w:ascii="宋体" w:hAnsi="宋体" w:eastAsia="宋体" w:cs="宋体"/>
                <w:spacing w:val="-1"/>
              </w:rPr>
              <w:t>～</w:t>
            </w:r>
            <w:r>
              <w:rPr>
                <w:spacing w:val="-1"/>
              </w:rPr>
              <w:t>4.5</w:t>
            </w:r>
            <w:r>
              <w:rPr>
                <w:rFonts w:ascii="宋体" w:hAnsi="宋体" w:eastAsia="宋体" w:cs="宋体"/>
                <w:spacing w:val="-1"/>
              </w:rPr>
              <w:t>～</w:t>
            </w:r>
            <w:r>
              <w:rPr>
                <w:spacing w:val="-1"/>
              </w:rPr>
              <w:t>5.0</w:t>
            </w:r>
          </w:p>
        </w:tc>
        <w:tc>
          <w:tcPr>
            <w:tcW w:w="991" w:type="dxa"/>
            <w:vAlign w:val="top"/>
          </w:tcPr>
          <w:p w14:paraId="3E69DC38">
            <w:pPr>
              <w:spacing w:before="80" w:line="221" w:lineRule="auto"/>
              <w:ind w:left="3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优</w:t>
            </w:r>
          </w:p>
        </w:tc>
        <w:tc>
          <w:tcPr>
            <w:tcW w:w="1290" w:type="dxa"/>
            <w:vAlign w:val="top"/>
          </w:tcPr>
          <w:p w14:paraId="36DE29D7">
            <w:pPr>
              <w:pStyle w:val="5"/>
              <w:spacing w:before="117" w:line="187" w:lineRule="auto"/>
              <w:ind w:left="514"/>
            </w:pPr>
            <w:r>
              <w:rPr>
                <w:spacing w:val="-1"/>
              </w:rPr>
              <w:t>4.5</w:t>
            </w:r>
          </w:p>
        </w:tc>
        <w:tc>
          <w:tcPr>
            <w:tcW w:w="947" w:type="dxa"/>
            <w:vMerge w:val="restart"/>
            <w:tcBorders>
              <w:bottom w:val="nil"/>
            </w:tcBorders>
            <w:vAlign w:val="top"/>
          </w:tcPr>
          <w:p w14:paraId="47FB8974">
            <w:pPr>
              <w:spacing w:line="285" w:lineRule="auto"/>
              <w:rPr>
                <w:rFonts w:ascii="Arial"/>
                <w:sz w:val="21"/>
              </w:rPr>
            </w:pPr>
          </w:p>
          <w:p w14:paraId="0C74603B">
            <w:pPr>
              <w:spacing w:line="285" w:lineRule="auto"/>
              <w:rPr>
                <w:rFonts w:ascii="Arial"/>
                <w:sz w:val="21"/>
              </w:rPr>
            </w:pPr>
          </w:p>
          <w:p w14:paraId="512CC49B">
            <w:pPr>
              <w:spacing w:before="68" w:line="221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合格</w:t>
            </w:r>
          </w:p>
        </w:tc>
        <w:tc>
          <w:tcPr>
            <w:tcW w:w="1281" w:type="dxa"/>
            <w:vMerge w:val="restart"/>
            <w:tcBorders>
              <w:bottom w:val="nil"/>
            </w:tcBorders>
            <w:vAlign w:val="top"/>
          </w:tcPr>
          <w:p w14:paraId="41A54149">
            <w:pPr>
              <w:spacing w:line="307" w:lineRule="auto"/>
              <w:rPr>
                <w:rFonts w:ascii="Arial"/>
                <w:sz w:val="21"/>
              </w:rPr>
            </w:pPr>
          </w:p>
          <w:p w14:paraId="0B60E770">
            <w:pPr>
              <w:spacing w:line="307" w:lineRule="auto"/>
              <w:rPr>
                <w:rFonts w:ascii="Arial"/>
                <w:sz w:val="21"/>
              </w:rPr>
            </w:pPr>
          </w:p>
          <w:p w14:paraId="76ABDF7D">
            <w:pPr>
              <w:pStyle w:val="5"/>
              <w:spacing w:before="61" w:line="187" w:lineRule="auto"/>
              <w:ind w:left="514"/>
            </w:pPr>
            <w:r>
              <w:rPr>
                <w:spacing w:val="-3"/>
              </w:rPr>
              <w:t>3.5</w:t>
            </w:r>
          </w:p>
        </w:tc>
      </w:tr>
      <w:tr w14:paraId="31154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564" w:type="dxa"/>
            <w:vAlign w:val="top"/>
          </w:tcPr>
          <w:p w14:paraId="1B65C6D8">
            <w:pPr>
              <w:pStyle w:val="5"/>
              <w:spacing w:before="79" w:line="237" w:lineRule="auto"/>
              <w:ind w:left="269"/>
            </w:pPr>
            <w:r>
              <w:rPr>
                <w:spacing w:val="-2"/>
              </w:rPr>
              <w:t>80</w:t>
            </w:r>
            <w:r>
              <w:rPr>
                <w:rFonts w:ascii="宋体" w:hAnsi="宋体" w:eastAsia="宋体" w:cs="宋体"/>
                <w:spacing w:val="-2"/>
              </w:rPr>
              <w:t>～</w:t>
            </w:r>
            <w:r>
              <w:rPr>
                <w:spacing w:val="-2"/>
              </w:rPr>
              <w:t>85</w:t>
            </w:r>
            <w:r>
              <w:rPr>
                <w:rFonts w:ascii="宋体" w:hAnsi="宋体" w:eastAsia="宋体" w:cs="宋体"/>
                <w:spacing w:val="-2"/>
              </w:rPr>
              <w:t>～</w:t>
            </w:r>
            <w:r>
              <w:rPr>
                <w:spacing w:val="-2"/>
              </w:rPr>
              <w:t>89</w:t>
            </w:r>
          </w:p>
        </w:tc>
        <w:tc>
          <w:tcPr>
            <w:tcW w:w="1843" w:type="dxa"/>
            <w:vAlign w:val="top"/>
          </w:tcPr>
          <w:p w14:paraId="6FB6C5A0">
            <w:pPr>
              <w:pStyle w:val="5"/>
              <w:spacing w:before="79" w:line="237" w:lineRule="auto"/>
              <w:ind w:left="321"/>
            </w:pPr>
            <w:r>
              <w:rPr>
                <w:spacing w:val="-1"/>
              </w:rPr>
              <w:t>3.0</w:t>
            </w:r>
            <w:r>
              <w:rPr>
                <w:rFonts w:ascii="宋体" w:hAnsi="宋体" w:eastAsia="宋体" w:cs="宋体"/>
                <w:spacing w:val="-1"/>
              </w:rPr>
              <w:t>～</w:t>
            </w:r>
            <w:r>
              <w:rPr>
                <w:spacing w:val="-1"/>
              </w:rPr>
              <w:t>3.5</w:t>
            </w:r>
            <w:r>
              <w:rPr>
                <w:rFonts w:ascii="宋体" w:hAnsi="宋体" w:eastAsia="宋体" w:cs="宋体"/>
                <w:spacing w:val="-1"/>
              </w:rPr>
              <w:t>～</w:t>
            </w:r>
            <w:r>
              <w:rPr>
                <w:spacing w:val="-1"/>
              </w:rPr>
              <w:t>3.9</w:t>
            </w:r>
          </w:p>
        </w:tc>
        <w:tc>
          <w:tcPr>
            <w:tcW w:w="991" w:type="dxa"/>
            <w:vAlign w:val="top"/>
          </w:tcPr>
          <w:p w14:paraId="4EDA2026">
            <w:pPr>
              <w:spacing w:before="80" w:line="223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良</w:t>
            </w:r>
          </w:p>
        </w:tc>
        <w:tc>
          <w:tcPr>
            <w:tcW w:w="1290" w:type="dxa"/>
            <w:vAlign w:val="top"/>
          </w:tcPr>
          <w:p w14:paraId="7FD4871F">
            <w:pPr>
              <w:pStyle w:val="5"/>
              <w:spacing w:before="115" w:line="187" w:lineRule="auto"/>
              <w:ind w:left="519"/>
            </w:pPr>
            <w:r>
              <w:rPr>
                <w:spacing w:val="-2"/>
              </w:rPr>
              <w:t>3.5</w:t>
            </w:r>
          </w:p>
        </w:tc>
        <w:tc>
          <w:tcPr>
            <w:tcW w:w="947" w:type="dxa"/>
            <w:vMerge w:val="continue"/>
            <w:tcBorders>
              <w:top w:val="nil"/>
              <w:bottom w:val="nil"/>
            </w:tcBorders>
            <w:vAlign w:val="top"/>
          </w:tcPr>
          <w:p w14:paraId="0D0C412B"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Merge w:val="continue"/>
            <w:tcBorders>
              <w:top w:val="nil"/>
              <w:bottom w:val="nil"/>
            </w:tcBorders>
            <w:vAlign w:val="top"/>
          </w:tcPr>
          <w:p w14:paraId="2334F096">
            <w:pPr>
              <w:rPr>
                <w:rFonts w:ascii="Arial"/>
                <w:sz w:val="21"/>
              </w:rPr>
            </w:pPr>
          </w:p>
        </w:tc>
      </w:tr>
      <w:tr w14:paraId="55CDC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564" w:type="dxa"/>
            <w:vAlign w:val="top"/>
          </w:tcPr>
          <w:p w14:paraId="655C520B">
            <w:pPr>
              <w:pStyle w:val="5"/>
              <w:spacing w:before="79" w:line="237" w:lineRule="auto"/>
              <w:ind w:left="264"/>
            </w:pPr>
            <w:r>
              <w:rPr>
                <w:spacing w:val="-1"/>
              </w:rPr>
              <w:t>70</w:t>
            </w:r>
            <w:r>
              <w:rPr>
                <w:rFonts w:ascii="宋体" w:hAnsi="宋体" w:eastAsia="宋体" w:cs="宋体"/>
                <w:spacing w:val="-1"/>
              </w:rPr>
              <w:t>～</w:t>
            </w:r>
            <w:r>
              <w:rPr>
                <w:spacing w:val="-1"/>
              </w:rPr>
              <w:t>75</w:t>
            </w:r>
            <w:r>
              <w:rPr>
                <w:rFonts w:ascii="宋体" w:hAnsi="宋体" w:eastAsia="宋体" w:cs="宋体"/>
                <w:spacing w:val="-1"/>
              </w:rPr>
              <w:t>～</w:t>
            </w:r>
            <w:r>
              <w:rPr>
                <w:spacing w:val="-1"/>
              </w:rPr>
              <w:t>79</w:t>
            </w:r>
          </w:p>
        </w:tc>
        <w:tc>
          <w:tcPr>
            <w:tcW w:w="1843" w:type="dxa"/>
            <w:vAlign w:val="top"/>
          </w:tcPr>
          <w:p w14:paraId="40329DFB">
            <w:pPr>
              <w:pStyle w:val="5"/>
              <w:spacing w:before="79" w:line="237" w:lineRule="auto"/>
              <w:ind w:left="317"/>
            </w:pPr>
            <w:r>
              <w:rPr>
                <w:spacing w:val="-1"/>
              </w:rPr>
              <w:t>2.0</w:t>
            </w:r>
            <w:r>
              <w:rPr>
                <w:rFonts w:ascii="宋体" w:hAnsi="宋体" w:eastAsia="宋体" w:cs="宋体"/>
                <w:spacing w:val="-1"/>
              </w:rPr>
              <w:t>～</w:t>
            </w:r>
            <w:r>
              <w:rPr>
                <w:spacing w:val="-1"/>
              </w:rPr>
              <w:t>2.5</w:t>
            </w:r>
            <w:r>
              <w:rPr>
                <w:rFonts w:ascii="宋体" w:hAnsi="宋体" w:eastAsia="宋体" w:cs="宋体"/>
                <w:spacing w:val="-1"/>
              </w:rPr>
              <w:t>～</w:t>
            </w:r>
            <w:r>
              <w:rPr>
                <w:spacing w:val="-1"/>
              </w:rPr>
              <w:t>2.9</w:t>
            </w:r>
          </w:p>
        </w:tc>
        <w:tc>
          <w:tcPr>
            <w:tcW w:w="991" w:type="dxa"/>
            <w:vAlign w:val="top"/>
          </w:tcPr>
          <w:p w14:paraId="08AC6E51">
            <w:pPr>
              <w:spacing w:before="80" w:line="221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中</w:t>
            </w:r>
          </w:p>
        </w:tc>
        <w:tc>
          <w:tcPr>
            <w:tcW w:w="1290" w:type="dxa"/>
            <w:vAlign w:val="top"/>
          </w:tcPr>
          <w:p w14:paraId="79784AC6">
            <w:pPr>
              <w:pStyle w:val="5"/>
              <w:spacing w:before="116" w:line="187" w:lineRule="auto"/>
              <w:ind w:left="515"/>
            </w:pPr>
            <w:r>
              <w:rPr>
                <w:spacing w:val="-1"/>
              </w:rPr>
              <w:t>2.5</w:t>
            </w:r>
          </w:p>
        </w:tc>
        <w:tc>
          <w:tcPr>
            <w:tcW w:w="947" w:type="dxa"/>
            <w:vMerge w:val="continue"/>
            <w:tcBorders>
              <w:top w:val="nil"/>
              <w:bottom w:val="nil"/>
            </w:tcBorders>
            <w:vAlign w:val="top"/>
          </w:tcPr>
          <w:p w14:paraId="7A3D6FD9"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Merge w:val="continue"/>
            <w:tcBorders>
              <w:top w:val="nil"/>
              <w:bottom w:val="nil"/>
            </w:tcBorders>
            <w:vAlign w:val="top"/>
          </w:tcPr>
          <w:p w14:paraId="1AE45FD0">
            <w:pPr>
              <w:rPr>
                <w:rFonts w:ascii="Arial"/>
                <w:sz w:val="21"/>
              </w:rPr>
            </w:pPr>
          </w:p>
        </w:tc>
      </w:tr>
      <w:tr w14:paraId="73B99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564" w:type="dxa"/>
            <w:vAlign w:val="top"/>
          </w:tcPr>
          <w:p w14:paraId="7FA0D89C">
            <w:pPr>
              <w:pStyle w:val="5"/>
              <w:spacing w:before="81" w:line="237" w:lineRule="auto"/>
              <w:ind w:left="265"/>
            </w:pPr>
            <w:r>
              <w:rPr>
                <w:spacing w:val="-1"/>
              </w:rPr>
              <w:t>60</w:t>
            </w:r>
            <w:r>
              <w:rPr>
                <w:rFonts w:ascii="宋体" w:hAnsi="宋体" w:eastAsia="宋体" w:cs="宋体"/>
                <w:spacing w:val="-1"/>
              </w:rPr>
              <w:t>～</w:t>
            </w:r>
            <w:r>
              <w:rPr>
                <w:spacing w:val="-1"/>
              </w:rPr>
              <w:t>65</w:t>
            </w:r>
            <w:r>
              <w:rPr>
                <w:rFonts w:ascii="宋体" w:hAnsi="宋体" w:eastAsia="宋体" w:cs="宋体"/>
                <w:spacing w:val="-1"/>
              </w:rPr>
              <w:t>～</w:t>
            </w:r>
            <w:r>
              <w:rPr>
                <w:spacing w:val="-1"/>
              </w:rPr>
              <w:t>69</w:t>
            </w:r>
          </w:p>
        </w:tc>
        <w:tc>
          <w:tcPr>
            <w:tcW w:w="1843" w:type="dxa"/>
            <w:vAlign w:val="top"/>
          </w:tcPr>
          <w:p w14:paraId="7A4E71CF">
            <w:pPr>
              <w:pStyle w:val="5"/>
              <w:spacing w:before="81" w:line="237" w:lineRule="auto"/>
              <w:ind w:left="337"/>
            </w:pPr>
            <w:r>
              <w:rPr>
                <w:spacing w:val="-2"/>
              </w:rPr>
              <w:t>1.0</w:t>
            </w:r>
            <w:r>
              <w:rPr>
                <w:rFonts w:ascii="宋体" w:hAnsi="宋体" w:eastAsia="宋体" w:cs="宋体"/>
                <w:spacing w:val="-2"/>
              </w:rPr>
              <w:t>～</w:t>
            </w:r>
            <w:r>
              <w:rPr>
                <w:spacing w:val="-2"/>
              </w:rPr>
              <w:t>1.5</w:t>
            </w:r>
            <w:r>
              <w:rPr>
                <w:rFonts w:ascii="宋体" w:hAnsi="宋体" w:eastAsia="宋体" w:cs="宋体"/>
                <w:spacing w:val="-2"/>
              </w:rPr>
              <w:t>～</w:t>
            </w:r>
            <w:r>
              <w:rPr>
                <w:spacing w:val="-2"/>
              </w:rPr>
              <w:t>1.9</w:t>
            </w:r>
          </w:p>
        </w:tc>
        <w:tc>
          <w:tcPr>
            <w:tcW w:w="991" w:type="dxa"/>
            <w:vAlign w:val="top"/>
          </w:tcPr>
          <w:p w14:paraId="1FFF0321">
            <w:pPr>
              <w:spacing w:before="80" w:line="221" w:lineRule="auto"/>
              <w:ind w:left="2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及格</w:t>
            </w:r>
          </w:p>
        </w:tc>
        <w:tc>
          <w:tcPr>
            <w:tcW w:w="1290" w:type="dxa"/>
            <w:vAlign w:val="top"/>
          </w:tcPr>
          <w:p w14:paraId="5D720ED4">
            <w:pPr>
              <w:pStyle w:val="5"/>
              <w:spacing w:before="117" w:line="187" w:lineRule="auto"/>
              <w:ind w:left="535"/>
            </w:pPr>
            <w:r>
              <w:rPr>
                <w:spacing w:val="-5"/>
              </w:rPr>
              <w:t>1.5</w:t>
            </w:r>
          </w:p>
        </w:tc>
        <w:tc>
          <w:tcPr>
            <w:tcW w:w="947" w:type="dxa"/>
            <w:vMerge w:val="continue"/>
            <w:tcBorders>
              <w:top w:val="nil"/>
            </w:tcBorders>
            <w:vAlign w:val="top"/>
          </w:tcPr>
          <w:p w14:paraId="60CEA3FB"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Merge w:val="continue"/>
            <w:tcBorders>
              <w:top w:val="nil"/>
            </w:tcBorders>
            <w:vAlign w:val="top"/>
          </w:tcPr>
          <w:p w14:paraId="13EC0CFC">
            <w:pPr>
              <w:rPr>
                <w:rFonts w:ascii="Arial"/>
                <w:sz w:val="21"/>
              </w:rPr>
            </w:pPr>
          </w:p>
        </w:tc>
      </w:tr>
      <w:tr w14:paraId="3ACB1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564" w:type="dxa"/>
            <w:vAlign w:val="top"/>
          </w:tcPr>
          <w:p w14:paraId="04AC12FB">
            <w:pPr>
              <w:pStyle w:val="5"/>
              <w:spacing w:before="85" w:line="222" w:lineRule="auto"/>
              <w:ind w:left="345"/>
              <w:rPr>
                <w:rFonts w:ascii="宋体" w:hAnsi="宋体" w:eastAsia="宋体" w:cs="宋体"/>
              </w:rPr>
            </w:pPr>
            <w:r>
              <w:rPr>
                <w:spacing w:val="-4"/>
              </w:rPr>
              <w:t>59</w:t>
            </w:r>
            <w:r>
              <w:rPr>
                <w:spacing w:val="1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</w:rPr>
              <w:t>及以下</w:t>
            </w:r>
          </w:p>
        </w:tc>
        <w:tc>
          <w:tcPr>
            <w:tcW w:w="1843" w:type="dxa"/>
            <w:vAlign w:val="top"/>
          </w:tcPr>
          <w:p w14:paraId="64D30516">
            <w:pPr>
              <w:pStyle w:val="5"/>
              <w:spacing w:before="121" w:line="187" w:lineRule="auto"/>
              <w:ind w:left="872"/>
            </w:pPr>
            <w:r>
              <w:t>0</w:t>
            </w:r>
          </w:p>
        </w:tc>
        <w:tc>
          <w:tcPr>
            <w:tcW w:w="991" w:type="dxa"/>
            <w:vAlign w:val="top"/>
          </w:tcPr>
          <w:p w14:paraId="459E8D9A">
            <w:pPr>
              <w:spacing w:before="84" w:line="221" w:lineRule="auto"/>
              <w:ind w:left="1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不及格</w:t>
            </w:r>
          </w:p>
        </w:tc>
        <w:tc>
          <w:tcPr>
            <w:tcW w:w="1290" w:type="dxa"/>
            <w:vAlign w:val="top"/>
          </w:tcPr>
          <w:p w14:paraId="442A2DF0">
            <w:pPr>
              <w:pStyle w:val="5"/>
              <w:spacing w:before="121" w:line="187" w:lineRule="auto"/>
              <w:ind w:left="595"/>
            </w:pPr>
            <w:r>
              <w:t>0</w:t>
            </w:r>
          </w:p>
        </w:tc>
        <w:tc>
          <w:tcPr>
            <w:tcW w:w="947" w:type="dxa"/>
            <w:vAlign w:val="top"/>
          </w:tcPr>
          <w:p w14:paraId="64533D1F">
            <w:pPr>
              <w:spacing w:before="84" w:line="221" w:lineRule="auto"/>
              <w:ind w:left="1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不合格</w:t>
            </w:r>
          </w:p>
        </w:tc>
        <w:tc>
          <w:tcPr>
            <w:tcW w:w="1281" w:type="dxa"/>
            <w:vAlign w:val="top"/>
          </w:tcPr>
          <w:p w14:paraId="06DF0494">
            <w:pPr>
              <w:pStyle w:val="5"/>
              <w:spacing w:before="121" w:line="187" w:lineRule="auto"/>
              <w:ind w:left="593"/>
            </w:pPr>
            <w:r>
              <w:t>0</w:t>
            </w:r>
          </w:p>
        </w:tc>
      </w:tr>
    </w:tbl>
    <w:p w14:paraId="1AA3FD4E">
      <w:pPr>
        <w:pStyle w:val="2"/>
        <w:spacing w:before="166" w:line="221" w:lineRule="auto"/>
        <w:ind w:left="7"/>
        <w:outlineLvl w:val="1"/>
        <w:rPr>
          <w:rFonts w:ascii="宋体" w:hAnsi="宋体" w:eastAsia="宋体" w:cs="宋体"/>
        </w:rPr>
      </w:pPr>
      <w:r>
        <w:rPr>
          <w:b/>
          <w:bCs/>
          <w:spacing w:val="-4"/>
        </w:rPr>
        <w:t>2</w:t>
      </w:r>
      <w:r>
        <w:rPr>
          <w:rFonts w:ascii="宋体" w:hAnsi="宋体" w:eastAsia="宋体" w:cs="宋体"/>
          <w:b/>
          <w:bCs/>
          <w:spacing w:val="-4"/>
        </w:rPr>
        <w:t>、计算公式</w:t>
      </w:r>
    </w:p>
    <w:p w14:paraId="3E0DA6D6">
      <w:pPr>
        <w:pStyle w:val="2"/>
        <w:spacing w:before="163" w:line="258" w:lineRule="auto"/>
        <w:ind w:left="425" w:right="2885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课程学分绩点</w:t>
      </w:r>
      <w:r>
        <w:t>=</w:t>
      </w:r>
      <w:r>
        <w:rPr>
          <w:rFonts w:ascii="宋体" w:hAnsi="宋体" w:eastAsia="宋体" w:cs="宋体"/>
        </w:rPr>
        <w:t>课程考核成绩绩点×课程权重系数</w:t>
      </w:r>
      <w:r>
        <w:t>(1.0</w:t>
      </w:r>
      <w:r>
        <w:rPr>
          <w:spacing w:val="-1"/>
        </w:rPr>
        <w:t>)</w:t>
      </w:r>
      <w:r>
        <w:rPr>
          <w:rFonts w:ascii="宋体" w:hAnsi="宋体" w:eastAsia="宋体" w:cs="宋体"/>
          <w:spacing w:val="-1"/>
        </w:rPr>
        <w:t>×课程学分</w:t>
      </w:r>
      <w:r>
        <w:rPr>
          <w:rFonts w:ascii="宋体" w:hAnsi="宋体" w:eastAsia="宋体" w:cs="宋体"/>
        </w:rPr>
        <w:t xml:space="preserve"> </w:t>
      </w:r>
      <w:r>
        <w:rPr>
          <w:rFonts w:ascii="宋体" w:hAnsi="宋体" w:eastAsia="宋体" w:cs="宋体"/>
          <w:spacing w:val="-2"/>
        </w:rPr>
        <w:t>平均学分绩点</w:t>
      </w:r>
      <w:r>
        <w:rPr>
          <w:spacing w:val="-2"/>
        </w:rPr>
        <w:t>=</w:t>
      </w:r>
      <w:r>
        <w:rPr>
          <w:rFonts w:ascii="宋体" w:hAnsi="宋体" w:eastAsia="宋体" w:cs="宋体"/>
          <w:spacing w:val="-2"/>
        </w:rPr>
        <w:t>∑</w:t>
      </w:r>
      <w:r>
        <w:rPr>
          <w:spacing w:val="-2"/>
        </w:rPr>
        <w:t>(</w:t>
      </w:r>
      <w:r>
        <w:rPr>
          <w:rFonts w:ascii="宋体" w:hAnsi="宋体" w:eastAsia="宋体" w:cs="宋体"/>
          <w:spacing w:val="-2"/>
        </w:rPr>
        <w:t>课程学分绩点</w:t>
      </w:r>
      <w:r>
        <w:rPr>
          <w:spacing w:val="-2"/>
        </w:rPr>
        <w:t>) /</w:t>
      </w:r>
      <w:r>
        <w:rPr>
          <w:spacing w:val="25"/>
        </w:rPr>
        <w:t xml:space="preserve">  </w:t>
      </w:r>
      <w:r>
        <w:rPr>
          <w:rFonts w:ascii="宋体" w:hAnsi="宋体" w:eastAsia="宋体" w:cs="宋体"/>
          <w:spacing w:val="-2"/>
        </w:rPr>
        <w:t>∑课程学分</w:t>
      </w:r>
    </w:p>
    <w:p w14:paraId="27C47DBF">
      <w:pPr>
        <w:pStyle w:val="2"/>
        <w:spacing w:before="143" w:line="221" w:lineRule="auto"/>
        <w:ind w:left="7"/>
        <w:outlineLvl w:val="1"/>
        <w:rPr>
          <w:rFonts w:ascii="宋体" w:hAnsi="宋体" w:eastAsia="宋体" w:cs="宋体"/>
        </w:rPr>
      </w:pPr>
      <w:r>
        <w:rPr>
          <w:b/>
          <w:bCs/>
          <w:spacing w:val="-8"/>
        </w:rPr>
        <w:t>3</w:t>
      </w:r>
      <w:r>
        <w:rPr>
          <w:rFonts w:ascii="宋体" w:hAnsi="宋体" w:eastAsia="宋体" w:cs="宋体"/>
          <w:b/>
          <w:bCs/>
          <w:spacing w:val="-8"/>
        </w:rPr>
        <w:t>、说明</w:t>
      </w:r>
    </w:p>
    <w:p w14:paraId="1AAE8A12">
      <w:pPr>
        <w:pStyle w:val="2"/>
        <w:spacing w:before="165" w:line="267" w:lineRule="auto"/>
        <w:ind w:left="7" w:right="18" w:firstLine="422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5"/>
        </w:rPr>
        <w:t>五级制、二级制换算成百分制时，取中间值，</w:t>
      </w:r>
      <w:r>
        <w:rPr>
          <w:rFonts w:ascii="宋体" w:hAnsi="宋体" w:eastAsia="宋体" w:cs="宋体"/>
          <w:spacing w:val="-6"/>
        </w:rPr>
        <w:t>优秀</w:t>
      </w:r>
      <w:r>
        <w:rPr>
          <w:spacing w:val="-6"/>
        </w:rPr>
        <w:t>=95</w:t>
      </w:r>
      <w:r>
        <w:rPr>
          <w:spacing w:val="15"/>
          <w:w w:val="101"/>
        </w:rPr>
        <w:t xml:space="preserve"> </w:t>
      </w:r>
      <w:r>
        <w:rPr>
          <w:rFonts w:ascii="宋体" w:hAnsi="宋体" w:eastAsia="宋体" w:cs="宋体"/>
          <w:spacing w:val="-6"/>
        </w:rPr>
        <w:t>分，良好</w:t>
      </w:r>
      <w:r>
        <w:rPr>
          <w:spacing w:val="-6"/>
        </w:rPr>
        <w:t>=85</w:t>
      </w:r>
      <w:r>
        <w:rPr>
          <w:spacing w:val="14"/>
          <w:w w:val="101"/>
        </w:rPr>
        <w:t xml:space="preserve"> </w:t>
      </w:r>
      <w:r>
        <w:rPr>
          <w:rFonts w:ascii="宋体" w:hAnsi="宋体" w:eastAsia="宋体" w:cs="宋体"/>
          <w:spacing w:val="-6"/>
        </w:rPr>
        <w:t>分，中等</w:t>
      </w:r>
      <w:r>
        <w:rPr>
          <w:spacing w:val="-6"/>
        </w:rPr>
        <w:t>=75</w:t>
      </w:r>
      <w:r>
        <w:rPr>
          <w:spacing w:val="17"/>
          <w:w w:val="101"/>
        </w:rPr>
        <w:t xml:space="preserve"> </w:t>
      </w:r>
      <w:r>
        <w:rPr>
          <w:rFonts w:ascii="宋体" w:hAnsi="宋体" w:eastAsia="宋体" w:cs="宋体"/>
          <w:spacing w:val="-6"/>
        </w:rPr>
        <w:t>分，及格</w:t>
      </w:r>
      <w:r>
        <w:rPr>
          <w:spacing w:val="-6"/>
        </w:rPr>
        <w:t>=65</w:t>
      </w:r>
      <w:r>
        <w:rPr>
          <w:spacing w:val="14"/>
          <w:w w:val="101"/>
        </w:rPr>
        <w:t xml:space="preserve"> </w:t>
      </w:r>
      <w:r>
        <w:rPr>
          <w:rFonts w:ascii="宋体" w:hAnsi="宋体" w:eastAsia="宋体" w:cs="宋体"/>
          <w:spacing w:val="-6"/>
        </w:rPr>
        <w:t>分，</w:t>
      </w:r>
      <w:r>
        <w:rPr>
          <w:rFonts w:ascii="宋体" w:hAnsi="宋体" w:eastAsia="宋体" w:cs="宋体"/>
        </w:rPr>
        <w:t xml:space="preserve"> </w:t>
      </w:r>
      <w:r>
        <w:rPr>
          <w:rFonts w:ascii="宋体" w:hAnsi="宋体" w:eastAsia="宋体" w:cs="宋体"/>
          <w:spacing w:val="-5"/>
        </w:rPr>
        <w:t>合格</w:t>
      </w:r>
      <w:r>
        <w:rPr>
          <w:spacing w:val="-5"/>
        </w:rPr>
        <w:t>=85</w:t>
      </w:r>
      <w:r>
        <w:rPr>
          <w:spacing w:val="21"/>
          <w:w w:val="101"/>
        </w:rPr>
        <w:t xml:space="preserve"> </w:t>
      </w:r>
      <w:r>
        <w:rPr>
          <w:rFonts w:ascii="宋体" w:hAnsi="宋体" w:eastAsia="宋体" w:cs="宋体"/>
          <w:spacing w:val="-5"/>
        </w:rPr>
        <w:t>分。</w:t>
      </w:r>
    </w:p>
    <w:p w14:paraId="3EBD8C91">
      <w:pPr>
        <w:pStyle w:val="2"/>
        <w:spacing w:before="126" w:line="220" w:lineRule="auto"/>
        <w:ind w:left="16"/>
        <w:rPr>
          <w:rFonts w:ascii="宋体" w:hAnsi="宋体" w:eastAsia="宋体" w:cs="宋体"/>
        </w:rPr>
      </w:pPr>
      <w:r>
        <w:rPr>
          <w:rFonts w:ascii="Wingdings" w:hAnsi="Wingdings" w:eastAsia="Wingdings" w:cs="Wingdings"/>
          <w:spacing w:val="-3"/>
        </w:rPr>
        <w:t xml:space="preserve">u </w:t>
      </w:r>
      <w:r>
        <w:rPr>
          <w:rFonts w:ascii="宋体" w:hAnsi="宋体" w:eastAsia="宋体" w:cs="宋体"/>
          <w:spacing w:val="-3"/>
        </w:rPr>
        <w:t>本说明适用于</w:t>
      </w:r>
      <w:r>
        <w:rPr>
          <w:rFonts w:ascii="宋体" w:hAnsi="宋体" w:eastAsia="宋体" w:cs="宋体"/>
          <w:spacing w:val="-41"/>
        </w:rPr>
        <w:t xml:space="preserve"> </w:t>
      </w:r>
      <w:r>
        <w:rPr>
          <w:spacing w:val="-3"/>
        </w:rPr>
        <w:t>2017</w:t>
      </w:r>
      <w:r>
        <w:rPr>
          <w:spacing w:val="13"/>
          <w:w w:val="102"/>
        </w:rPr>
        <w:t xml:space="preserve"> </w:t>
      </w:r>
      <w:r>
        <w:rPr>
          <w:rFonts w:ascii="宋体" w:hAnsi="宋体" w:eastAsia="宋体" w:cs="宋体"/>
          <w:spacing w:val="-3"/>
        </w:rPr>
        <w:t>年</w:t>
      </w:r>
      <w:r>
        <w:rPr>
          <w:rFonts w:ascii="宋体" w:hAnsi="宋体" w:eastAsia="宋体" w:cs="宋体"/>
          <w:spacing w:val="-44"/>
        </w:rPr>
        <w:t xml:space="preserve"> </w:t>
      </w:r>
      <w:r>
        <w:rPr>
          <w:spacing w:val="-3"/>
        </w:rPr>
        <w:t>9</w:t>
      </w:r>
      <w:r>
        <w:rPr>
          <w:spacing w:val="18"/>
        </w:rPr>
        <w:t xml:space="preserve"> </w:t>
      </w:r>
      <w:r>
        <w:rPr>
          <w:rFonts w:ascii="宋体" w:hAnsi="宋体" w:eastAsia="宋体" w:cs="宋体"/>
          <w:spacing w:val="-3"/>
        </w:rPr>
        <w:t>月以后入学的本科生。</w:t>
      </w:r>
    </w:p>
    <w:p w14:paraId="5B013EFE">
      <w:pPr>
        <w:spacing w:line="260" w:lineRule="auto"/>
        <w:rPr>
          <w:rFonts w:ascii="Arial"/>
          <w:sz w:val="21"/>
        </w:rPr>
      </w:pPr>
    </w:p>
    <w:p w14:paraId="37BC0ADD">
      <w:pPr>
        <w:pStyle w:val="2"/>
        <w:spacing w:before="86" w:line="215" w:lineRule="auto"/>
        <w:outlineLvl w:val="0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The Grade</w:t>
      </w:r>
      <w:r>
        <w:rPr>
          <w:b/>
          <w:bCs/>
          <w:spacing w:val="19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 xml:space="preserve">Point System Of </w:t>
      </w:r>
      <w:r>
        <w:rPr>
          <w:rFonts w:hint="eastAsia" w:eastAsia="宋体"/>
          <w:b/>
          <w:bCs/>
          <w:spacing w:val="-2"/>
          <w:sz w:val="28"/>
          <w:szCs w:val="28"/>
          <w:lang w:val="en-US" w:eastAsia="zh-CN"/>
        </w:rPr>
        <w:t xml:space="preserve">Wanjiang College of </w:t>
      </w:r>
      <w:r>
        <w:rPr>
          <w:b/>
          <w:bCs/>
          <w:spacing w:val="-2"/>
          <w:sz w:val="28"/>
          <w:szCs w:val="28"/>
        </w:rPr>
        <w:t>Anh</w:t>
      </w:r>
      <w:r>
        <w:rPr>
          <w:b/>
          <w:bCs/>
          <w:spacing w:val="-3"/>
          <w:sz w:val="28"/>
          <w:szCs w:val="28"/>
        </w:rPr>
        <w:t>ui</w:t>
      </w:r>
      <w:r>
        <w:rPr>
          <w:b/>
          <w:bCs/>
          <w:spacing w:val="20"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>Normal</w:t>
      </w:r>
      <w:r>
        <w:rPr>
          <w:b/>
          <w:bCs/>
          <w:spacing w:val="16"/>
          <w:w w:val="101"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>University</w:t>
      </w:r>
      <w:bookmarkStart w:id="0" w:name="_GoBack"/>
      <w:bookmarkEnd w:id="0"/>
    </w:p>
    <w:p w14:paraId="68C399A7">
      <w:pPr>
        <w:pStyle w:val="2"/>
        <w:spacing w:before="219" w:line="215" w:lineRule="auto"/>
        <w:ind w:left="13"/>
        <w:outlineLvl w:val="1"/>
      </w:pPr>
      <w:r>
        <w:rPr>
          <w:b/>
          <w:bCs/>
          <w:spacing w:val="-1"/>
        </w:rPr>
        <w:t>1. The conversion between scores and grades</w:t>
      </w:r>
    </w:p>
    <w:p w14:paraId="443EF79E">
      <w:pPr>
        <w:pStyle w:val="2"/>
        <w:spacing w:before="90" w:line="284" w:lineRule="auto"/>
        <w:ind w:left="1" w:right="83" w:firstLine="14"/>
        <w:jc w:val="both"/>
      </w:pPr>
      <w:r>
        <w:rPr>
          <w:spacing w:val="-3"/>
        </w:rPr>
        <w:t>In</w:t>
      </w:r>
      <w:r>
        <w:rPr>
          <w:spacing w:val="15"/>
        </w:rPr>
        <w:t xml:space="preserve"> </w:t>
      </w:r>
      <w:r>
        <w:rPr>
          <w:spacing w:val="-3"/>
        </w:rPr>
        <w:t>the</w:t>
      </w:r>
      <w:r>
        <w:rPr>
          <w:spacing w:val="28"/>
          <w:w w:val="101"/>
        </w:rPr>
        <w:t xml:space="preserve"> </w:t>
      </w:r>
      <w:r>
        <w:rPr>
          <w:spacing w:val="-3"/>
        </w:rPr>
        <w:t>percentile</w:t>
      </w:r>
      <w:r>
        <w:rPr>
          <w:spacing w:val="20"/>
          <w:w w:val="101"/>
        </w:rPr>
        <w:t xml:space="preserve"> </w:t>
      </w:r>
      <w:r>
        <w:rPr>
          <w:spacing w:val="-3"/>
        </w:rPr>
        <w:t>system,</w:t>
      </w:r>
      <w:r>
        <w:rPr>
          <w:spacing w:val="23"/>
        </w:rPr>
        <w:t xml:space="preserve"> </w:t>
      </w:r>
      <w:r>
        <w:rPr>
          <w:spacing w:val="-3"/>
        </w:rPr>
        <w:t>60</w:t>
      </w:r>
      <w:r>
        <w:rPr>
          <w:spacing w:val="26"/>
          <w:w w:val="101"/>
        </w:rPr>
        <w:t xml:space="preserve"> </w:t>
      </w:r>
      <w:r>
        <w:rPr>
          <w:spacing w:val="-3"/>
        </w:rPr>
        <w:t>points</w:t>
      </w:r>
      <w:r>
        <w:rPr>
          <w:spacing w:val="21"/>
        </w:rPr>
        <w:t xml:space="preserve"> </w:t>
      </w:r>
      <w:r>
        <w:rPr>
          <w:spacing w:val="-3"/>
        </w:rPr>
        <w:t>equal</w:t>
      </w:r>
      <w:r>
        <w:rPr>
          <w:spacing w:val="21"/>
        </w:rPr>
        <w:t xml:space="preserve"> </w:t>
      </w:r>
      <w:r>
        <w:rPr>
          <w:spacing w:val="-3"/>
        </w:rPr>
        <w:t>a</w:t>
      </w:r>
      <w:r>
        <w:rPr>
          <w:spacing w:val="21"/>
          <w:w w:val="101"/>
        </w:rPr>
        <w:t xml:space="preserve"> </w:t>
      </w:r>
      <w:r>
        <w:rPr>
          <w:spacing w:val="-3"/>
        </w:rPr>
        <w:t>course</w:t>
      </w:r>
      <w:r>
        <w:rPr>
          <w:spacing w:val="21"/>
        </w:rPr>
        <w:t xml:space="preserve"> </w:t>
      </w:r>
      <w:r>
        <w:rPr>
          <w:spacing w:val="-3"/>
        </w:rPr>
        <w:t>score</w:t>
      </w:r>
      <w:r>
        <w:rPr>
          <w:spacing w:val="18"/>
        </w:rPr>
        <w:t xml:space="preserve"> </w:t>
      </w:r>
      <w:r>
        <w:rPr>
          <w:spacing w:val="-3"/>
        </w:rPr>
        <w:t>grade</w:t>
      </w:r>
      <w:r>
        <w:rPr>
          <w:spacing w:val="28"/>
          <w:w w:val="101"/>
        </w:rPr>
        <w:t xml:space="preserve"> </w:t>
      </w:r>
      <w:r>
        <w:rPr>
          <w:spacing w:val="-3"/>
        </w:rPr>
        <w:t>point</w:t>
      </w:r>
      <w:r>
        <w:rPr>
          <w:spacing w:val="20"/>
          <w:w w:val="101"/>
        </w:rPr>
        <w:t xml:space="preserve"> </w:t>
      </w:r>
      <w:r>
        <w:rPr>
          <w:spacing w:val="-3"/>
        </w:rPr>
        <w:t>of</w:t>
      </w:r>
      <w:r>
        <w:rPr>
          <w:spacing w:val="28"/>
          <w:w w:val="101"/>
        </w:rPr>
        <w:t xml:space="preserve"> </w:t>
      </w:r>
      <w:r>
        <w:rPr>
          <w:spacing w:val="-3"/>
        </w:rPr>
        <w:t>1.0;</w:t>
      </w:r>
      <w:r>
        <w:rPr>
          <w:spacing w:val="27"/>
        </w:rPr>
        <w:t xml:space="preserve"> </w:t>
      </w:r>
      <w:r>
        <w:rPr>
          <w:spacing w:val="-3"/>
        </w:rPr>
        <w:t>if</w:t>
      </w:r>
      <w:r>
        <w:rPr>
          <w:spacing w:val="25"/>
          <w:w w:val="101"/>
        </w:rPr>
        <w:t xml:space="preserve"> </w:t>
      </w:r>
      <w:r>
        <w:rPr>
          <w:spacing w:val="-3"/>
        </w:rPr>
        <w:t>points</w:t>
      </w:r>
      <w:r>
        <w:rPr>
          <w:spacing w:val="21"/>
        </w:rPr>
        <w:t xml:space="preserve"> </w:t>
      </w:r>
      <w:r>
        <w:rPr>
          <w:spacing w:val="-3"/>
        </w:rPr>
        <w:t>are</w:t>
      </w:r>
      <w:r>
        <w:rPr>
          <w:spacing w:val="28"/>
          <w:w w:val="101"/>
        </w:rPr>
        <w:t xml:space="preserve"> </w:t>
      </w:r>
      <w:r>
        <w:rPr>
          <w:spacing w:val="-3"/>
        </w:rPr>
        <w:t>more</w:t>
      </w:r>
      <w:r>
        <w:rPr>
          <w:spacing w:val="16"/>
        </w:rPr>
        <w:t xml:space="preserve"> </w:t>
      </w:r>
      <w:r>
        <w:rPr>
          <w:spacing w:val="-3"/>
        </w:rPr>
        <w:t>than</w:t>
      </w:r>
      <w:r>
        <w:rPr>
          <w:spacing w:val="20"/>
          <w:w w:val="101"/>
        </w:rPr>
        <w:t xml:space="preserve"> </w:t>
      </w:r>
      <w:r>
        <w:rPr>
          <w:spacing w:val="-3"/>
        </w:rPr>
        <w:t>60</w:t>
      </w:r>
      <w:r>
        <w:rPr>
          <w:spacing w:val="-4"/>
        </w:rPr>
        <w:t>,</w:t>
      </w:r>
      <w:r>
        <w:rPr>
          <w:spacing w:val="16"/>
        </w:rPr>
        <w:t xml:space="preserve"> </w:t>
      </w:r>
      <w:r>
        <w:rPr>
          <w:spacing w:val="-4"/>
        </w:rPr>
        <w:t>for</w:t>
      </w:r>
      <w:r>
        <w:t xml:space="preserve"> </w:t>
      </w:r>
      <w:r>
        <w:rPr>
          <w:spacing w:val="-2"/>
        </w:rPr>
        <w:t>each</w:t>
      </w:r>
      <w:r>
        <w:rPr>
          <w:spacing w:val="18"/>
          <w:w w:val="101"/>
        </w:rPr>
        <w:t xml:space="preserve"> </w:t>
      </w:r>
      <w:r>
        <w:rPr>
          <w:spacing w:val="-2"/>
        </w:rPr>
        <w:t>increase</w:t>
      </w:r>
      <w:r>
        <w:rPr>
          <w:spacing w:val="14"/>
          <w:w w:val="102"/>
        </w:rPr>
        <w:t xml:space="preserve"> </w:t>
      </w:r>
      <w:r>
        <w:rPr>
          <w:spacing w:val="-2"/>
        </w:rPr>
        <w:t>of</w:t>
      </w:r>
      <w:r>
        <w:rPr>
          <w:spacing w:val="18"/>
          <w:w w:val="101"/>
        </w:rPr>
        <w:t xml:space="preserve"> </w:t>
      </w:r>
      <w:r>
        <w:rPr>
          <w:spacing w:val="-2"/>
        </w:rPr>
        <w:t>1</w:t>
      </w:r>
      <w:r>
        <w:rPr>
          <w:spacing w:val="21"/>
          <w:w w:val="102"/>
        </w:rPr>
        <w:t xml:space="preserve"> </w:t>
      </w:r>
      <w:r>
        <w:rPr>
          <w:spacing w:val="-2"/>
        </w:rPr>
        <w:t>point</w:t>
      </w:r>
      <w:r>
        <w:rPr>
          <w:spacing w:val="17"/>
          <w:w w:val="101"/>
        </w:rPr>
        <w:t xml:space="preserve"> </w:t>
      </w:r>
      <w:r>
        <w:rPr>
          <w:spacing w:val="-2"/>
        </w:rPr>
        <w:t>(points will</w:t>
      </w:r>
      <w:r>
        <w:rPr>
          <w:spacing w:val="20"/>
        </w:rPr>
        <w:t xml:space="preserve"> </w:t>
      </w:r>
      <w:r>
        <w:rPr>
          <w:spacing w:val="-2"/>
        </w:rPr>
        <w:t>be</w:t>
      </w:r>
      <w:r>
        <w:rPr>
          <w:spacing w:val="21"/>
        </w:rPr>
        <w:t xml:space="preserve"> </w:t>
      </w:r>
      <w:r>
        <w:rPr>
          <w:spacing w:val="-2"/>
        </w:rPr>
        <w:t>half</w:t>
      </w:r>
      <w:r>
        <w:rPr>
          <w:spacing w:val="12"/>
          <w:w w:val="101"/>
        </w:rPr>
        <w:t xml:space="preserve"> </w:t>
      </w:r>
      <w:r>
        <w:rPr>
          <w:spacing w:val="-2"/>
        </w:rPr>
        <w:t>adjusted), the</w:t>
      </w:r>
      <w:r>
        <w:rPr>
          <w:spacing w:val="14"/>
          <w:w w:val="101"/>
        </w:rPr>
        <w:t xml:space="preserve"> </w:t>
      </w:r>
      <w:r>
        <w:rPr>
          <w:spacing w:val="-2"/>
        </w:rPr>
        <w:t>course</w:t>
      </w:r>
      <w:r>
        <w:rPr>
          <w:spacing w:val="14"/>
        </w:rPr>
        <w:t xml:space="preserve"> </w:t>
      </w:r>
      <w:r>
        <w:rPr>
          <w:spacing w:val="-2"/>
        </w:rPr>
        <w:t>score grade</w:t>
      </w:r>
      <w:r>
        <w:rPr>
          <w:spacing w:val="18"/>
          <w:w w:val="101"/>
        </w:rPr>
        <w:t xml:space="preserve"> </w:t>
      </w:r>
      <w:r>
        <w:rPr>
          <w:spacing w:val="-2"/>
        </w:rPr>
        <w:t>point</w:t>
      </w:r>
      <w:r>
        <w:rPr>
          <w:spacing w:val="18"/>
        </w:rPr>
        <w:t xml:space="preserve"> </w:t>
      </w:r>
      <w:r>
        <w:rPr>
          <w:spacing w:val="-2"/>
        </w:rPr>
        <w:t>inc</w:t>
      </w:r>
      <w:r>
        <w:rPr>
          <w:spacing w:val="-3"/>
        </w:rPr>
        <w:t>rease will</w:t>
      </w:r>
      <w:r>
        <w:rPr>
          <w:spacing w:val="19"/>
          <w:w w:val="102"/>
        </w:rPr>
        <w:t xml:space="preserve"> </w:t>
      </w:r>
      <w:r>
        <w:rPr>
          <w:spacing w:val="-3"/>
        </w:rPr>
        <w:t>be</w:t>
      </w:r>
      <w:r>
        <w:rPr>
          <w:spacing w:val="9"/>
        </w:rPr>
        <w:t xml:space="preserve"> </w:t>
      </w:r>
      <w:r>
        <w:rPr>
          <w:spacing w:val="-3"/>
        </w:rPr>
        <w:t>0.1.</w:t>
      </w:r>
      <w:r>
        <w:rPr>
          <w:spacing w:val="7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-2"/>
        </w:rPr>
        <w:t>table of the conversion</w:t>
      </w:r>
      <w:r>
        <w:rPr>
          <w:spacing w:val="27"/>
        </w:rPr>
        <w:t xml:space="preserve"> </w:t>
      </w:r>
      <w:r>
        <w:rPr>
          <w:spacing w:val="-2"/>
        </w:rPr>
        <w:t>between scores and</w:t>
      </w:r>
      <w:r>
        <w:rPr>
          <w:spacing w:val="5"/>
        </w:rPr>
        <w:t xml:space="preserve"> </w:t>
      </w:r>
      <w:r>
        <w:rPr>
          <w:spacing w:val="-2"/>
        </w:rPr>
        <w:t>grade</w:t>
      </w:r>
      <w:r>
        <w:rPr>
          <w:spacing w:val="16"/>
          <w:w w:val="101"/>
        </w:rPr>
        <w:t xml:space="preserve"> </w:t>
      </w:r>
      <w:r>
        <w:rPr>
          <w:spacing w:val="-2"/>
        </w:rPr>
        <w:t>points</w:t>
      </w:r>
      <w:r>
        <w:rPr>
          <w:spacing w:val="12"/>
          <w:w w:val="102"/>
        </w:rPr>
        <w:t xml:space="preserve"> </w:t>
      </w:r>
      <w:r>
        <w:rPr>
          <w:spacing w:val="-2"/>
        </w:rPr>
        <w:t>is</w:t>
      </w:r>
      <w:r>
        <w:rPr>
          <w:spacing w:val="8"/>
        </w:rPr>
        <w:t xml:space="preserve"> </w:t>
      </w:r>
      <w:r>
        <w:rPr>
          <w:spacing w:val="-2"/>
        </w:rPr>
        <w:t>as</w:t>
      </w:r>
      <w:r>
        <w:rPr>
          <w:spacing w:val="15"/>
          <w:w w:val="101"/>
        </w:rPr>
        <w:t xml:space="preserve"> </w:t>
      </w:r>
      <w:r>
        <w:rPr>
          <w:spacing w:val="-2"/>
        </w:rPr>
        <w:t>below:</w:t>
      </w:r>
    </w:p>
    <w:p w14:paraId="0E70E807">
      <w:pPr>
        <w:spacing w:line="45" w:lineRule="exact"/>
      </w:pPr>
    </w:p>
    <w:tbl>
      <w:tblPr>
        <w:tblStyle w:val="6"/>
        <w:tblW w:w="0" w:type="auto"/>
        <w:tblInd w:w="64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6"/>
        <w:gridCol w:w="1456"/>
        <w:gridCol w:w="1137"/>
        <w:gridCol w:w="1375"/>
        <w:gridCol w:w="1134"/>
        <w:gridCol w:w="1397"/>
      </w:tblGrid>
      <w:tr w14:paraId="78218E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386" w:type="dxa"/>
            <w:vAlign w:val="top"/>
          </w:tcPr>
          <w:p w14:paraId="719D05D7">
            <w:pPr>
              <w:pStyle w:val="5"/>
              <w:spacing w:before="66" w:line="225" w:lineRule="auto"/>
              <w:ind w:left="394" w:right="270" w:hanging="120"/>
            </w:pPr>
            <w:r>
              <w:rPr>
                <w:spacing w:val="-1"/>
              </w:rPr>
              <w:t>Percentile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System</w:t>
            </w:r>
          </w:p>
        </w:tc>
        <w:tc>
          <w:tcPr>
            <w:tcW w:w="1456" w:type="dxa"/>
            <w:vAlign w:val="top"/>
          </w:tcPr>
          <w:p w14:paraId="4CEDD57D">
            <w:pPr>
              <w:pStyle w:val="5"/>
              <w:spacing w:before="66" w:line="225" w:lineRule="auto"/>
              <w:ind w:left="254" w:right="180" w:hanging="68"/>
            </w:pPr>
            <w:r>
              <w:rPr>
                <w:spacing w:val="-2"/>
              </w:rPr>
              <w:t>Course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score</w:t>
            </w:r>
            <w:r>
              <w:t xml:space="preserve"> </w:t>
            </w:r>
            <w:r>
              <w:rPr>
                <w:spacing w:val="-1"/>
              </w:rPr>
              <w:t>grade point</w:t>
            </w:r>
          </w:p>
        </w:tc>
        <w:tc>
          <w:tcPr>
            <w:tcW w:w="1137" w:type="dxa"/>
            <w:vAlign w:val="top"/>
          </w:tcPr>
          <w:p w14:paraId="4A5D2041">
            <w:pPr>
              <w:pStyle w:val="5"/>
              <w:spacing w:before="66" w:line="225" w:lineRule="auto"/>
              <w:ind w:left="269" w:right="105" w:hanging="161"/>
            </w:pPr>
            <w:r>
              <w:rPr>
                <w:spacing w:val="-1"/>
              </w:rPr>
              <w:t>Five-Level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System</w:t>
            </w:r>
          </w:p>
        </w:tc>
        <w:tc>
          <w:tcPr>
            <w:tcW w:w="1375" w:type="dxa"/>
            <w:vAlign w:val="top"/>
          </w:tcPr>
          <w:p w14:paraId="2C0AAF3B">
            <w:pPr>
              <w:pStyle w:val="5"/>
              <w:spacing w:before="66" w:line="225" w:lineRule="auto"/>
              <w:ind w:left="215" w:right="138" w:hanging="68"/>
            </w:pPr>
            <w:r>
              <w:rPr>
                <w:spacing w:val="-2"/>
              </w:rPr>
              <w:t>Course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score</w:t>
            </w:r>
            <w:r>
              <w:t xml:space="preserve"> </w:t>
            </w:r>
            <w:r>
              <w:rPr>
                <w:spacing w:val="-1"/>
              </w:rPr>
              <w:t>grade point</w:t>
            </w:r>
          </w:p>
        </w:tc>
        <w:tc>
          <w:tcPr>
            <w:tcW w:w="1134" w:type="dxa"/>
            <w:vAlign w:val="top"/>
          </w:tcPr>
          <w:p w14:paraId="6E63C5F9">
            <w:pPr>
              <w:pStyle w:val="5"/>
              <w:spacing w:before="66" w:line="225" w:lineRule="auto"/>
              <w:ind w:left="268" w:right="140" w:hanging="119"/>
            </w:pPr>
            <w:r>
              <w:rPr>
                <w:spacing w:val="-3"/>
              </w:rPr>
              <w:t>Two-level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System</w:t>
            </w:r>
          </w:p>
        </w:tc>
        <w:tc>
          <w:tcPr>
            <w:tcW w:w="1397" w:type="dxa"/>
            <w:vAlign w:val="top"/>
          </w:tcPr>
          <w:p w14:paraId="3E28EBDD">
            <w:pPr>
              <w:pStyle w:val="5"/>
              <w:spacing w:before="66" w:line="225" w:lineRule="auto"/>
              <w:ind w:left="226" w:right="151" w:hanging="70"/>
            </w:pPr>
            <w:r>
              <w:rPr>
                <w:spacing w:val="-2"/>
              </w:rPr>
              <w:t>Course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score</w:t>
            </w:r>
            <w:r>
              <w:t xml:space="preserve"> </w:t>
            </w:r>
            <w:r>
              <w:rPr>
                <w:spacing w:val="-1"/>
              </w:rPr>
              <w:t>grade point</w:t>
            </w:r>
          </w:p>
        </w:tc>
      </w:tr>
      <w:tr w14:paraId="18D4E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386" w:type="dxa"/>
            <w:vAlign w:val="top"/>
          </w:tcPr>
          <w:p w14:paraId="625CAC3F">
            <w:pPr>
              <w:pStyle w:val="5"/>
              <w:spacing w:before="52" w:line="223" w:lineRule="auto"/>
              <w:ind w:left="123"/>
            </w:pPr>
            <w:r>
              <w:rPr>
                <w:spacing w:val="-1"/>
              </w:rPr>
              <w:t>90</w:t>
            </w:r>
            <w:r>
              <w:rPr>
                <w:rFonts w:ascii="宋体" w:hAnsi="宋体" w:eastAsia="宋体" w:cs="宋体"/>
                <w:spacing w:val="-1"/>
              </w:rPr>
              <w:t>～</w:t>
            </w:r>
            <w:r>
              <w:rPr>
                <w:spacing w:val="-1"/>
              </w:rPr>
              <w:t>95</w:t>
            </w:r>
            <w:r>
              <w:rPr>
                <w:rFonts w:ascii="宋体" w:hAnsi="宋体" w:eastAsia="宋体" w:cs="宋体"/>
                <w:spacing w:val="-1"/>
              </w:rPr>
              <w:t>～</w:t>
            </w:r>
            <w:r>
              <w:rPr>
                <w:spacing w:val="-1"/>
              </w:rPr>
              <w:t>100</w:t>
            </w:r>
          </w:p>
        </w:tc>
        <w:tc>
          <w:tcPr>
            <w:tcW w:w="1456" w:type="dxa"/>
            <w:vAlign w:val="top"/>
          </w:tcPr>
          <w:p w14:paraId="2F98388E">
            <w:pPr>
              <w:pStyle w:val="5"/>
              <w:spacing w:before="52" w:line="223" w:lineRule="auto"/>
              <w:ind w:left="124"/>
            </w:pPr>
            <w:r>
              <w:t>4.0</w:t>
            </w:r>
            <w:r>
              <w:rPr>
                <w:rFonts w:ascii="宋体" w:hAnsi="宋体" w:eastAsia="宋体" w:cs="宋体"/>
              </w:rPr>
              <w:t>～</w:t>
            </w:r>
            <w:r>
              <w:t>4.5</w:t>
            </w:r>
            <w:r>
              <w:rPr>
                <w:rFonts w:ascii="宋体" w:hAnsi="宋体" w:eastAsia="宋体" w:cs="宋体"/>
              </w:rPr>
              <w:t>～</w:t>
            </w:r>
            <w:r>
              <w:t>5.0</w:t>
            </w:r>
          </w:p>
        </w:tc>
        <w:tc>
          <w:tcPr>
            <w:tcW w:w="1137" w:type="dxa"/>
            <w:vAlign w:val="top"/>
          </w:tcPr>
          <w:p w14:paraId="3ACB12B4">
            <w:pPr>
              <w:pStyle w:val="5"/>
              <w:spacing w:before="84" w:line="191" w:lineRule="auto"/>
              <w:ind w:left="174"/>
            </w:pPr>
            <w:r>
              <w:rPr>
                <w:spacing w:val="-1"/>
              </w:rPr>
              <w:t>Excellent</w:t>
            </w:r>
          </w:p>
        </w:tc>
        <w:tc>
          <w:tcPr>
            <w:tcW w:w="1375" w:type="dxa"/>
            <w:vAlign w:val="top"/>
          </w:tcPr>
          <w:p w14:paraId="50A6A347">
            <w:pPr>
              <w:pStyle w:val="5"/>
              <w:spacing w:before="88" w:line="187" w:lineRule="auto"/>
              <w:ind w:left="558"/>
            </w:pPr>
            <w:r>
              <w:rPr>
                <w:spacing w:val="-1"/>
              </w:rPr>
              <w:t>4.5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top"/>
          </w:tcPr>
          <w:p w14:paraId="35694EBD">
            <w:pPr>
              <w:spacing w:line="252" w:lineRule="auto"/>
              <w:rPr>
                <w:rFonts w:ascii="Arial"/>
                <w:sz w:val="21"/>
              </w:rPr>
            </w:pPr>
          </w:p>
          <w:p w14:paraId="7E2E5FDE">
            <w:pPr>
              <w:spacing w:line="252" w:lineRule="auto"/>
              <w:rPr>
                <w:rFonts w:ascii="Arial"/>
                <w:sz w:val="21"/>
              </w:rPr>
            </w:pPr>
          </w:p>
          <w:p w14:paraId="7738FD9A">
            <w:pPr>
              <w:pStyle w:val="5"/>
              <w:spacing w:before="60" w:line="195" w:lineRule="auto"/>
              <w:ind w:left="176"/>
            </w:pPr>
            <w:r>
              <w:rPr>
                <w:spacing w:val="-1"/>
              </w:rPr>
              <w:t>Qualified</w:t>
            </w:r>
          </w:p>
        </w:tc>
        <w:tc>
          <w:tcPr>
            <w:tcW w:w="1397" w:type="dxa"/>
            <w:vMerge w:val="restart"/>
            <w:tcBorders>
              <w:bottom w:val="nil"/>
            </w:tcBorders>
            <w:vAlign w:val="top"/>
          </w:tcPr>
          <w:p w14:paraId="3BE3A967">
            <w:pPr>
              <w:spacing w:line="253" w:lineRule="auto"/>
              <w:rPr>
                <w:rFonts w:ascii="Arial"/>
                <w:sz w:val="21"/>
              </w:rPr>
            </w:pPr>
          </w:p>
          <w:p w14:paraId="01C4127F">
            <w:pPr>
              <w:spacing w:line="254" w:lineRule="auto"/>
              <w:rPr>
                <w:rFonts w:ascii="Arial"/>
                <w:sz w:val="21"/>
              </w:rPr>
            </w:pPr>
          </w:p>
          <w:p w14:paraId="679AE8A2">
            <w:pPr>
              <w:pStyle w:val="5"/>
              <w:spacing w:before="60" w:line="187" w:lineRule="auto"/>
              <w:ind w:left="573"/>
            </w:pPr>
            <w:r>
              <w:rPr>
                <w:spacing w:val="-3"/>
              </w:rPr>
              <w:t>3.5</w:t>
            </w:r>
          </w:p>
        </w:tc>
      </w:tr>
      <w:tr w14:paraId="494DB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386" w:type="dxa"/>
            <w:vAlign w:val="top"/>
          </w:tcPr>
          <w:p w14:paraId="18EBB80C">
            <w:pPr>
              <w:pStyle w:val="5"/>
              <w:spacing w:before="52" w:line="222" w:lineRule="auto"/>
              <w:ind w:left="178"/>
            </w:pPr>
            <w:r>
              <w:rPr>
                <w:spacing w:val="-2"/>
              </w:rPr>
              <w:t>80</w:t>
            </w:r>
            <w:r>
              <w:rPr>
                <w:rFonts w:ascii="宋体" w:hAnsi="宋体" w:eastAsia="宋体" w:cs="宋体"/>
                <w:spacing w:val="-2"/>
              </w:rPr>
              <w:t>～</w:t>
            </w:r>
            <w:r>
              <w:rPr>
                <w:spacing w:val="-2"/>
              </w:rPr>
              <w:t>85</w:t>
            </w:r>
            <w:r>
              <w:rPr>
                <w:rFonts w:ascii="宋体" w:hAnsi="宋体" w:eastAsia="宋体" w:cs="宋体"/>
                <w:spacing w:val="-2"/>
              </w:rPr>
              <w:t>～</w:t>
            </w:r>
            <w:r>
              <w:rPr>
                <w:spacing w:val="-2"/>
              </w:rPr>
              <w:t>89</w:t>
            </w:r>
          </w:p>
        </w:tc>
        <w:tc>
          <w:tcPr>
            <w:tcW w:w="1456" w:type="dxa"/>
            <w:vAlign w:val="top"/>
          </w:tcPr>
          <w:p w14:paraId="3DEC9315">
            <w:pPr>
              <w:pStyle w:val="5"/>
              <w:spacing w:before="52" w:line="222" w:lineRule="auto"/>
              <w:ind w:left="129"/>
            </w:pPr>
            <w:r>
              <w:rPr>
                <w:spacing w:val="-1"/>
              </w:rPr>
              <w:t>3.0</w:t>
            </w:r>
            <w:r>
              <w:rPr>
                <w:rFonts w:ascii="宋体" w:hAnsi="宋体" w:eastAsia="宋体" w:cs="宋体"/>
                <w:spacing w:val="-1"/>
              </w:rPr>
              <w:t>～</w:t>
            </w:r>
            <w:r>
              <w:rPr>
                <w:spacing w:val="-1"/>
              </w:rPr>
              <w:t>3.5</w:t>
            </w:r>
            <w:r>
              <w:rPr>
                <w:rFonts w:ascii="宋体" w:hAnsi="宋体" w:eastAsia="宋体" w:cs="宋体"/>
                <w:spacing w:val="-1"/>
              </w:rPr>
              <w:t>～</w:t>
            </w:r>
            <w:r>
              <w:rPr>
                <w:spacing w:val="-1"/>
              </w:rPr>
              <w:t>3.9</w:t>
            </w:r>
          </w:p>
        </w:tc>
        <w:tc>
          <w:tcPr>
            <w:tcW w:w="1137" w:type="dxa"/>
            <w:vAlign w:val="top"/>
          </w:tcPr>
          <w:p w14:paraId="088541FA">
            <w:pPr>
              <w:pStyle w:val="5"/>
              <w:spacing w:before="86" w:line="190" w:lineRule="auto"/>
              <w:ind w:left="340"/>
            </w:pPr>
            <w:r>
              <w:rPr>
                <w:spacing w:val="-2"/>
              </w:rPr>
              <w:t>Good</w:t>
            </w:r>
          </w:p>
        </w:tc>
        <w:tc>
          <w:tcPr>
            <w:tcW w:w="1375" w:type="dxa"/>
            <w:vAlign w:val="top"/>
          </w:tcPr>
          <w:p w14:paraId="24FA883C">
            <w:pPr>
              <w:pStyle w:val="5"/>
              <w:spacing w:before="89" w:line="187" w:lineRule="auto"/>
              <w:ind w:left="564"/>
            </w:pPr>
            <w:r>
              <w:rPr>
                <w:spacing w:val="-2"/>
              </w:rPr>
              <w:t>3.5</w:t>
            </w:r>
          </w:p>
        </w:tc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0F7D5909">
            <w:pPr>
              <w:rPr>
                <w:rFonts w:ascii="Arial"/>
                <w:sz w:val="21"/>
              </w:rPr>
            </w:pPr>
          </w:p>
        </w:tc>
        <w:tc>
          <w:tcPr>
            <w:tcW w:w="1397" w:type="dxa"/>
            <w:vMerge w:val="continue"/>
            <w:tcBorders>
              <w:top w:val="nil"/>
              <w:bottom w:val="nil"/>
            </w:tcBorders>
            <w:vAlign w:val="top"/>
          </w:tcPr>
          <w:p w14:paraId="126A63B1">
            <w:pPr>
              <w:rPr>
                <w:rFonts w:ascii="Arial"/>
                <w:sz w:val="21"/>
              </w:rPr>
            </w:pPr>
          </w:p>
        </w:tc>
      </w:tr>
      <w:tr w14:paraId="09FDF5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386" w:type="dxa"/>
            <w:vAlign w:val="top"/>
          </w:tcPr>
          <w:p w14:paraId="76C90469">
            <w:pPr>
              <w:pStyle w:val="5"/>
              <w:spacing w:before="54" w:line="221" w:lineRule="auto"/>
              <w:ind w:left="173"/>
            </w:pPr>
            <w:r>
              <w:rPr>
                <w:spacing w:val="-1"/>
              </w:rPr>
              <w:t>70</w:t>
            </w:r>
            <w:r>
              <w:rPr>
                <w:rFonts w:ascii="宋体" w:hAnsi="宋体" w:eastAsia="宋体" w:cs="宋体"/>
                <w:spacing w:val="-1"/>
              </w:rPr>
              <w:t>～</w:t>
            </w:r>
            <w:r>
              <w:rPr>
                <w:spacing w:val="-1"/>
              </w:rPr>
              <w:t>75</w:t>
            </w:r>
            <w:r>
              <w:rPr>
                <w:rFonts w:ascii="宋体" w:hAnsi="宋体" w:eastAsia="宋体" w:cs="宋体"/>
                <w:spacing w:val="-1"/>
              </w:rPr>
              <w:t>～</w:t>
            </w:r>
            <w:r>
              <w:rPr>
                <w:spacing w:val="-1"/>
              </w:rPr>
              <w:t>79</w:t>
            </w:r>
          </w:p>
        </w:tc>
        <w:tc>
          <w:tcPr>
            <w:tcW w:w="1456" w:type="dxa"/>
            <w:vAlign w:val="top"/>
          </w:tcPr>
          <w:p w14:paraId="0D0A6937">
            <w:pPr>
              <w:pStyle w:val="5"/>
              <w:spacing w:before="54" w:line="221" w:lineRule="auto"/>
              <w:ind w:left="125"/>
            </w:pPr>
            <w:r>
              <w:rPr>
                <w:spacing w:val="-1"/>
              </w:rPr>
              <w:t>2.0</w:t>
            </w:r>
            <w:r>
              <w:rPr>
                <w:rFonts w:ascii="宋体" w:hAnsi="宋体" w:eastAsia="宋体" w:cs="宋体"/>
                <w:spacing w:val="-1"/>
              </w:rPr>
              <w:t>～</w:t>
            </w:r>
            <w:r>
              <w:rPr>
                <w:spacing w:val="-1"/>
              </w:rPr>
              <w:t>2.5</w:t>
            </w:r>
            <w:r>
              <w:rPr>
                <w:rFonts w:ascii="宋体" w:hAnsi="宋体" w:eastAsia="宋体" w:cs="宋体"/>
                <w:spacing w:val="-1"/>
              </w:rPr>
              <w:t>～</w:t>
            </w:r>
            <w:r>
              <w:rPr>
                <w:spacing w:val="-1"/>
              </w:rPr>
              <w:t>2.9</w:t>
            </w:r>
          </w:p>
        </w:tc>
        <w:tc>
          <w:tcPr>
            <w:tcW w:w="1137" w:type="dxa"/>
            <w:vAlign w:val="top"/>
          </w:tcPr>
          <w:p w14:paraId="10B8C47A">
            <w:pPr>
              <w:pStyle w:val="5"/>
              <w:spacing w:before="87" w:line="190" w:lineRule="auto"/>
              <w:ind w:left="212"/>
            </w:pPr>
            <w:r>
              <w:rPr>
                <w:spacing w:val="-1"/>
              </w:rPr>
              <w:t>Medium</w:t>
            </w:r>
          </w:p>
        </w:tc>
        <w:tc>
          <w:tcPr>
            <w:tcW w:w="1375" w:type="dxa"/>
            <w:vAlign w:val="top"/>
          </w:tcPr>
          <w:p w14:paraId="606AFFE7">
            <w:pPr>
              <w:pStyle w:val="5"/>
              <w:spacing w:before="90" w:line="187" w:lineRule="auto"/>
              <w:ind w:left="559"/>
            </w:pPr>
            <w:r>
              <w:rPr>
                <w:spacing w:val="-1"/>
              </w:rPr>
              <w:t>2.5</w:t>
            </w:r>
          </w:p>
        </w:tc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20A096D6">
            <w:pPr>
              <w:rPr>
                <w:rFonts w:ascii="Arial"/>
                <w:sz w:val="21"/>
              </w:rPr>
            </w:pPr>
          </w:p>
        </w:tc>
        <w:tc>
          <w:tcPr>
            <w:tcW w:w="1397" w:type="dxa"/>
            <w:vMerge w:val="continue"/>
            <w:tcBorders>
              <w:top w:val="nil"/>
              <w:bottom w:val="nil"/>
            </w:tcBorders>
            <w:vAlign w:val="top"/>
          </w:tcPr>
          <w:p w14:paraId="68503F2B">
            <w:pPr>
              <w:rPr>
                <w:rFonts w:ascii="Arial"/>
                <w:sz w:val="21"/>
              </w:rPr>
            </w:pPr>
          </w:p>
        </w:tc>
      </w:tr>
      <w:tr w14:paraId="20F99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386" w:type="dxa"/>
            <w:vAlign w:val="top"/>
          </w:tcPr>
          <w:p w14:paraId="3D304BE9">
            <w:pPr>
              <w:pStyle w:val="5"/>
              <w:spacing w:before="54" w:line="221" w:lineRule="auto"/>
              <w:ind w:left="174"/>
            </w:pPr>
            <w:r>
              <w:rPr>
                <w:spacing w:val="-1"/>
              </w:rPr>
              <w:t>60</w:t>
            </w:r>
            <w:r>
              <w:rPr>
                <w:rFonts w:ascii="宋体" w:hAnsi="宋体" w:eastAsia="宋体" w:cs="宋体"/>
                <w:spacing w:val="-1"/>
              </w:rPr>
              <w:t>～</w:t>
            </w:r>
            <w:r>
              <w:rPr>
                <w:spacing w:val="-1"/>
              </w:rPr>
              <w:t>65</w:t>
            </w:r>
            <w:r>
              <w:rPr>
                <w:rFonts w:ascii="宋体" w:hAnsi="宋体" w:eastAsia="宋体" w:cs="宋体"/>
                <w:spacing w:val="-1"/>
              </w:rPr>
              <w:t>～</w:t>
            </w:r>
            <w:r>
              <w:rPr>
                <w:spacing w:val="-1"/>
              </w:rPr>
              <w:t>69</w:t>
            </w:r>
          </w:p>
        </w:tc>
        <w:tc>
          <w:tcPr>
            <w:tcW w:w="1456" w:type="dxa"/>
            <w:vAlign w:val="top"/>
          </w:tcPr>
          <w:p w14:paraId="5FC7A411">
            <w:pPr>
              <w:pStyle w:val="5"/>
              <w:spacing w:before="54" w:line="221" w:lineRule="auto"/>
              <w:ind w:left="145"/>
            </w:pPr>
            <w:r>
              <w:rPr>
                <w:spacing w:val="-2"/>
              </w:rPr>
              <w:t>1.0</w:t>
            </w:r>
            <w:r>
              <w:rPr>
                <w:rFonts w:ascii="宋体" w:hAnsi="宋体" w:eastAsia="宋体" w:cs="宋体"/>
                <w:spacing w:val="-2"/>
              </w:rPr>
              <w:t>～</w:t>
            </w:r>
            <w:r>
              <w:rPr>
                <w:spacing w:val="-2"/>
              </w:rPr>
              <w:t>1.5</w:t>
            </w:r>
            <w:r>
              <w:rPr>
                <w:rFonts w:ascii="宋体" w:hAnsi="宋体" w:eastAsia="宋体" w:cs="宋体"/>
                <w:spacing w:val="-2"/>
              </w:rPr>
              <w:t>～</w:t>
            </w:r>
            <w:r>
              <w:rPr>
                <w:spacing w:val="-2"/>
              </w:rPr>
              <w:t>1.9</w:t>
            </w:r>
          </w:p>
        </w:tc>
        <w:tc>
          <w:tcPr>
            <w:tcW w:w="1137" w:type="dxa"/>
            <w:vAlign w:val="top"/>
          </w:tcPr>
          <w:p w14:paraId="4E13CFF6">
            <w:pPr>
              <w:pStyle w:val="5"/>
              <w:spacing w:before="94" w:line="184" w:lineRule="auto"/>
              <w:ind w:left="382"/>
            </w:pPr>
            <w:r>
              <w:t>Pass</w:t>
            </w:r>
          </w:p>
        </w:tc>
        <w:tc>
          <w:tcPr>
            <w:tcW w:w="1375" w:type="dxa"/>
            <w:vAlign w:val="top"/>
          </w:tcPr>
          <w:p w14:paraId="1C637FDC">
            <w:pPr>
              <w:pStyle w:val="5"/>
              <w:spacing w:before="91" w:line="187" w:lineRule="auto"/>
              <w:ind w:left="580"/>
            </w:pPr>
            <w:r>
              <w:rPr>
                <w:spacing w:val="-5"/>
              </w:rPr>
              <w:t>1.5</w:t>
            </w:r>
          </w:p>
        </w:tc>
        <w:tc>
          <w:tcPr>
            <w:tcW w:w="1134" w:type="dxa"/>
            <w:vMerge w:val="continue"/>
            <w:tcBorders>
              <w:top w:val="nil"/>
            </w:tcBorders>
            <w:vAlign w:val="top"/>
          </w:tcPr>
          <w:p w14:paraId="018D41E7">
            <w:pPr>
              <w:rPr>
                <w:rFonts w:ascii="Arial"/>
                <w:sz w:val="21"/>
              </w:rPr>
            </w:pPr>
          </w:p>
        </w:tc>
        <w:tc>
          <w:tcPr>
            <w:tcW w:w="1397" w:type="dxa"/>
            <w:vMerge w:val="continue"/>
            <w:tcBorders>
              <w:top w:val="nil"/>
            </w:tcBorders>
            <w:vAlign w:val="top"/>
          </w:tcPr>
          <w:p w14:paraId="501577CA">
            <w:pPr>
              <w:rPr>
                <w:rFonts w:ascii="Arial"/>
                <w:sz w:val="21"/>
              </w:rPr>
            </w:pPr>
          </w:p>
        </w:tc>
      </w:tr>
      <w:tr w14:paraId="2CF0E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386" w:type="dxa"/>
            <w:vAlign w:val="top"/>
          </w:tcPr>
          <w:p w14:paraId="0E83D866">
            <w:pPr>
              <w:pStyle w:val="5"/>
              <w:spacing w:before="58" w:line="224" w:lineRule="auto"/>
              <w:ind w:left="439"/>
            </w:pPr>
            <w:r>
              <w:rPr>
                <w:spacing w:val="-2"/>
              </w:rPr>
              <w:t>59</w:t>
            </w:r>
            <w:r>
              <w:rPr>
                <w:rFonts w:ascii="宋体" w:hAnsi="宋体" w:eastAsia="宋体" w:cs="宋体"/>
                <w:spacing w:val="-2"/>
              </w:rPr>
              <w:t>～</w:t>
            </w:r>
            <w:r>
              <w:rPr>
                <w:spacing w:val="-2"/>
              </w:rPr>
              <w:t>0</w:t>
            </w:r>
          </w:p>
        </w:tc>
        <w:tc>
          <w:tcPr>
            <w:tcW w:w="1456" w:type="dxa"/>
            <w:vAlign w:val="top"/>
          </w:tcPr>
          <w:p w14:paraId="29C3F315">
            <w:pPr>
              <w:pStyle w:val="5"/>
              <w:spacing w:before="94" w:line="187" w:lineRule="auto"/>
              <w:ind w:left="678"/>
            </w:pPr>
            <w:r>
              <w:t>0</w:t>
            </w:r>
          </w:p>
        </w:tc>
        <w:tc>
          <w:tcPr>
            <w:tcW w:w="1137" w:type="dxa"/>
            <w:vAlign w:val="top"/>
          </w:tcPr>
          <w:p w14:paraId="627F42FA">
            <w:pPr>
              <w:pStyle w:val="5"/>
              <w:spacing w:before="91" w:line="190" w:lineRule="auto"/>
              <w:ind w:left="406"/>
            </w:pPr>
            <w:r>
              <w:rPr>
                <w:spacing w:val="-2"/>
              </w:rPr>
              <w:t>Fail</w:t>
            </w:r>
          </w:p>
        </w:tc>
        <w:tc>
          <w:tcPr>
            <w:tcW w:w="1375" w:type="dxa"/>
            <w:vAlign w:val="top"/>
          </w:tcPr>
          <w:p w14:paraId="492BA31D">
            <w:pPr>
              <w:pStyle w:val="5"/>
              <w:spacing w:before="94" w:line="187" w:lineRule="auto"/>
              <w:ind w:left="639"/>
            </w:pPr>
            <w:r>
              <w:t>0</w:t>
            </w:r>
          </w:p>
        </w:tc>
        <w:tc>
          <w:tcPr>
            <w:tcW w:w="1134" w:type="dxa"/>
            <w:vAlign w:val="top"/>
          </w:tcPr>
          <w:p w14:paraId="5EB8002F">
            <w:pPr>
              <w:pStyle w:val="5"/>
              <w:spacing w:before="91" w:line="190" w:lineRule="auto"/>
              <w:ind w:left="405"/>
            </w:pPr>
            <w:r>
              <w:rPr>
                <w:spacing w:val="-2"/>
              </w:rPr>
              <w:t>Fail</w:t>
            </w:r>
          </w:p>
        </w:tc>
        <w:tc>
          <w:tcPr>
            <w:tcW w:w="1397" w:type="dxa"/>
            <w:vAlign w:val="top"/>
          </w:tcPr>
          <w:p w14:paraId="3A395192">
            <w:pPr>
              <w:pStyle w:val="5"/>
              <w:spacing w:before="94" w:line="187" w:lineRule="auto"/>
              <w:ind w:left="651"/>
            </w:pPr>
            <w:r>
              <w:t>0</w:t>
            </w:r>
          </w:p>
        </w:tc>
      </w:tr>
    </w:tbl>
    <w:p w14:paraId="17E1CDE7">
      <w:pPr>
        <w:pStyle w:val="2"/>
        <w:spacing w:before="192" w:line="215" w:lineRule="auto"/>
        <w:ind w:left="7"/>
        <w:outlineLvl w:val="1"/>
      </w:pPr>
      <w:r>
        <w:rPr>
          <w:b/>
          <w:bCs/>
          <w:spacing w:val="-2"/>
        </w:rPr>
        <w:t>2. Calculating</w:t>
      </w:r>
      <w:r>
        <w:rPr>
          <w:b/>
          <w:bCs/>
          <w:spacing w:val="28"/>
          <w:w w:val="102"/>
        </w:rPr>
        <w:t xml:space="preserve"> </w:t>
      </w:r>
      <w:r>
        <w:rPr>
          <w:b/>
          <w:bCs/>
          <w:spacing w:val="-2"/>
        </w:rPr>
        <w:t>Formula</w:t>
      </w:r>
    </w:p>
    <w:p w14:paraId="6F6B4656">
      <w:pPr>
        <w:pStyle w:val="2"/>
        <w:spacing w:before="90" w:line="289" w:lineRule="auto"/>
        <w:ind w:left="6" w:right="79" w:hanging="7"/>
      </w:pPr>
      <w:r>
        <w:rPr>
          <w:spacing w:val="-2"/>
        </w:rPr>
        <w:t>The</w:t>
      </w:r>
      <w:r>
        <w:rPr>
          <w:spacing w:val="24"/>
          <w:w w:val="101"/>
        </w:rPr>
        <w:t xml:space="preserve"> </w:t>
      </w:r>
      <w:r>
        <w:rPr>
          <w:spacing w:val="-2"/>
        </w:rPr>
        <w:t>course</w:t>
      </w:r>
      <w:r>
        <w:rPr>
          <w:spacing w:val="24"/>
          <w:w w:val="101"/>
        </w:rPr>
        <w:t xml:space="preserve"> </w:t>
      </w:r>
      <w:r>
        <w:rPr>
          <w:spacing w:val="-2"/>
        </w:rPr>
        <w:t>credit</w:t>
      </w:r>
      <w:r>
        <w:rPr>
          <w:spacing w:val="19"/>
        </w:rPr>
        <w:t xml:space="preserve"> </w:t>
      </w:r>
      <w:r>
        <w:rPr>
          <w:spacing w:val="-2"/>
        </w:rPr>
        <w:t>grade</w:t>
      </w:r>
      <w:r>
        <w:rPr>
          <w:spacing w:val="30"/>
          <w:w w:val="101"/>
        </w:rPr>
        <w:t xml:space="preserve"> </w:t>
      </w:r>
      <w:r>
        <w:rPr>
          <w:spacing w:val="-2"/>
        </w:rPr>
        <w:t>point</w:t>
      </w:r>
      <w:r>
        <w:rPr>
          <w:spacing w:val="23"/>
          <w:w w:val="101"/>
        </w:rPr>
        <w:t xml:space="preserve"> </w:t>
      </w:r>
      <w:r>
        <w:rPr>
          <w:spacing w:val="-2"/>
        </w:rPr>
        <w:t>=</w:t>
      </w:r>
      <w:r>
        <w:rPr>
          <w:spacing w:val="16"/>
          <w:w w:val="101"/>
        </w:rPr>
        <w:t xml:space="preserve"> </w:t>
      </w:r>
      <w:r>
        <w:rPr>
          <w:spacing w:val="-2"/>
        </w:rPr>
        <w:t>The</w:t>
      </w:r>
      <w:r>
        <w:rPr>
          <w:spacing w:val="24"/>
          <w:w w:val="101"/>
        </w:rPr>
        <w:t xml:space="preserve"> </w:t>
      </w:r>
      <w:r>
        <w:rPr>
          <w:spacing w:val="-2"/>
        </w:rPr>
        <w:t>course</w:t>
      </w:r>
      <w:r>
        <w:rPr>
          <w:spacing w:val="23"/>
          <w:w w:val="101"/>
        </w:rPr>
        <w:t xml:space="preserve"> </w:t>
      </w:r>
      <w:r>
        <w:rPr>
          <w:spacing w:val="-2"/>
        </w:rPr>
        <w:t>score</w:t>
      </w:r>
      <w:r>
        <w:rPr>
          <w:spacing w:val="20"/>
          <w:w w:val="101"/>
        </w:rPr>
        <w:t xml:space="preserve"> </w:t>
      </w:r>
      <w:r>
        <w:rPr>
          <w:spacing w:val="-2"/>
        </w:rPr>
        <w:t>grade</w:t>
      </w:r>
      <w:r>
        <w:rPr>
          <w:spacing w:val="28"/>
          <w:w w:val="101"/>
        </w:rPr>
        <w:t xml:space="preserve"> </w:t>
      </w:r>
      <w:r>
        <w:rPr>
          <w:spacing w:val="-2"/>
        </w:rPr>
        <w:t>point</w:t>
      </w:r>
      <w:r>
        <w:rPr>
          <w:spacing w:val="27"/>
        </w:rPr>
        <w:t xml:space="preserve"> </w:t>
      </w:r>
      <w:r>
        <w:rPr>
          <w:spacing w:val="-2"/>
        </w:rPr>
        <w:t>×</w:t>
      </w:r>
      <w:r>
        <w:rPr>
          <w:spacing w:val="16"/>
          <w:w w:val="101"/>
        </w:rPr>
        <w:t xml:space="preserve"> </w:t>
      </w:r>
      <w:r>
        <w:rPr>
          <w:spacing w:val="-2"/>
        </w:rPr>
        <w:t>the</w:t>
      </w:r>
      <w:r>
        <w:rPr>
          <w:spacing w:val="24"/>
        </w:rPr>
        <w:t xml:space="preserve"> </w:t>
      </w:r>
      <w:r>
        <w:rPr>
          <w:spacing w:val="-2"/>
        </w:rPr>
        <w:t>course</w:t>
      </w:r>
      <w:r>
        <w:rPr>
          <w:spacing w:val="18"/>
        </w:rPr>
        <w:t xml:space="preserve"> </w:t>
      </w:r>
      <w:r>
        <w:rPr>
          <w:spacing w:val="-3"/>
        </w:rPr>
        <w:t>weighing</w:t>
      </w:r>
      <w:r>
        <w:rPr>
          <w:spacing w:val="23"/>
        </w:rPr>
        <w:t xml:space="preserve"> </w:t>
      </w:r>
      <w:r>
        <w:rPr>
          <w:spacing w:val="-3"/>
        </w:rPr>
        <w:t>coefficient</w:t>
      </w:r>
      <w:r>
        <w:rPr>
          <w:spacing w:val="27"/>
          <w:w w:val="101"/>
        </w:rPr>
        <w:t xml:space="preserve"> </w:t>
      </w:r>
      <w:r>
        <w:rPr>
          <w:spacing w:val="-3"/>
        </w:rPr>
        <w:t>(1.0)</w:t>
      </w:r>
      <w:r>
        <w:rPr>
          <w:spacing w:val="22"/>
          <w:w w:val="101"/>
        </w:rPr>
        <w:t xml:space="preserve"> </w:t>
      </w:r>
      <w:r>
        <w:rPr>
          <w:spacing w:val="-3"/>
        </w:rPr>
        <w:t>×</w:t>
      </w:r>
      <w:r>
        <w:rPr>
          <w:spacing w:val="16"/>
          <w:w w:val="102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-3"/>
        </w:rPr>
        <w:t>course</w:t>
      </w:r>
      <w:r>
        <w:rPr>
          <w:spacing w:val="18"/>
          <w:w w:val="101"/>
        </w:rPr>
        <w:t xml:space="preserve"> </w:t>
      </w:r>
      <w:r>
        <w:rPr>
          <w:spacing w:val="-3"/>
        </w:rPr>
        <w:t>credit</w:t>
      </w:r>
    </w:p>
    <w:p w14:paraId="54B000FF">
      <w:pPr>
        <w:pStyle w:val="2"/>
        <w:spacing w:before="1" w:line="226" w:lineRule="auto"/>
        <w:ind w:left="7"/>
      </w:pPr>
      <w:r>
        <w:rPr>
          <w:spacing w:val="-2"/>
        </w:rPr>
        <w:t>Grade</w:t>
      </w:r>
      <w:r>
        <w:rPr>
          <w:spacing w:val="19"/>
        </w:rPr>
        <w:t xml:space="preserve"> </w:t>
      </w:r>
      <w:r>
        <w:rPr>
          <w:spacing w:val="-2"/>
        </w:rPr>
        <w:t xml:space="preserve">Point Average =   </w:t>
      </w:r>
      <w:r>
        <w:rPr>
          <w:rFonts w:ascii="宋体" w:hAnsi="宋体" w:eastAsia="宋体" w:cs="宋体"/>
          <w:spacing w:val="-2"/>
        </w:rPr>
        <w:t xml:space="preserve">∑ </w:t>
      </w:r>
      <w:r>
        <w:rPr>
          <w:spacing w:val="-2"/>
        </w:rPr>
        <w:t>th</w:t>
      </w:r>
      <w:r>
        <w:rPr>
          <w:spacing w:val="-3"/>
        </w:rPr>
        <w:t>e course credit</w:t>
      </w:r>
      <w:r>
        <w:rPr>
          <w:spacing w:val="4"/>
        </w:rPr>
        <w:t xml:space="preserve"> </w:t>
      </w:r>
      <w:r>
        <w:rPr>
          <w:spacing w:val="-3"/>
        </w:rPr>
        <w:t>grade</w:t>
      </w:r>
      <w:r>
        <w:rPr>
          <w:spacing w:val="17"/>
        </w:rPr>
        <w:t xml:space="preserve"> </w:t>
      </w:r>
      <w:r>
        <w:rPr>
          <w:spacing w:val="-3"/>
        </w:rPr>
        <w:t>point /</w:t>
      </w:r>
      <w:r>
        <w:rPr>
          <w:spacing w:val="22"/>
        </w:rPr>
        <w:t xml:space="preserve">  </w:t>
      </w:r>
      <w:r>
        <w:rPr>
          <w:rFonts w:ascii="宋体" w:hAnsi="宋体" w:eastAsia="宋体" w:cs="宋体"/>
          <w:spacing w:val="-3"/>
        </w:rPr>
        <w:t xml:space="preserve">∑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course</w:t>
      </w:r>
      <w:r>
        <w:rPr>
          <w:spacing w:val="8"/>
        </w:rPr>
        <w:t xml:space="preserve"> </w:t>
      </w:r>
      <w:r>
        <w:rPr>
          <w:spacing w:val="-3"/>
        </w:rPr>
        <w:t>credit</w:t>
      </w:r>
    </w:p>
    <w:p w14:paraId="1FC54F16">
      <w:pPr>
        <w:pStyle w:val="2"/>
        <w:spacing w:before="196" w:line="184" w:lineRule="auto"/>
        <w:ind w:left="7"/>
        <w:outlineLvl w:val="1"/>
      </w:pPr>
      <w:r>
        <w:rPr>
          <w:b/>
          <w:bCs/>
          <w:spacing w:val="-3"/>
        </w:rPr>
        <w:t>3.</w:t>
      </w:r>
      <w:r>
        <w:rPr>
          <w:b/>
          <w:bCs/>
          <w:spacing w:val="26"/>
          <w:w w:val="101"/>
        </w:rPr>
        <w:t xml:space="preserve"> </w:t>
      </w:r>
      <w:r>
        <w:rPr>
          <w:b/>
          <w:bCs/>
          <w:spacing w:val="-3"/>
        </w:rPr>
        <w:t>Directions</w:t>
      </w:r>
    </w:p>
    <w:p w14:paraId="05727315">
      <w:pPr>
        <w:pStyle w:val="2"/>
        <w:spacing w:before="106" w:line="278" w:lineRule="auto"/>
        <w:ind w:left="16" w:right="77" w:hanging="16"/>
      </w:pPr>
      <w:r>
        <w:rPr>
          <w:spacing w:val="-2"/>
        </w:rPr>
        <w:t>Take  the</w:t>
      </w:r>
      <w:r>
        <w:rPr>
          <w:spacing w:val="11"/>
        </w:rPr>
        <w:t xml:space="preserve">  </w:t>
      </w:r>
      <w:r>
        <w:rPr>
          <w:spacing w:val="-2"/>
        </w:rPr>
        <w:t>median  in</w:t>
      </w:r>
      <w:r>
        <w:rPr>
          <w:spacing w:val="5"/>
        </w:rPr>
        <w:t xml:space="preserve">  </w:t>
      </w:r>
      <w:r>
        <w:rPr>
          <w:spacing w:val="-2"/>
        </w:rPr>
        <w:t>the</w:t>
      </w:r>
      <w:r>
        <w:rPr>
          <w:spacing w:val="7"/>
        </w:rPr>
        <w:t xml:space="preserve">  </w:t>
      </w:r>
      <w:r>
        <w:rPr>
          <w:spacing w:val="-2"/>
        </w:rPr>
        <w:t>conversion</w:t>
      </w:r>
      <w:r>
        <w:rPr>
          <w:spacing w:val="9"/>
        </w:rPr>
        <w:t xml:space="preserve">  </w:t>
      </w:r>
      <w:r>
        <w:rPr>
          <w:spacing w:val="-2"/>
        </w:rPr>
        <w:t>of  five-level</w:t>
      </w:r>
      <w:r>
        <w:rPr>
          <w:spacing w:val="8"/>
        </w:rPr>
        <w:t xml:space="preserve">  </w:t>
      </w:r>
      <w:r>
        <w:rPr>
          <w:spacing w:val="-2"/>
        </w:rPr>
        <w:t>system</w:t>
      </w:r>
      <w:r>
        <w:rPr>
          <w:spacing w:val="8"/>
        </w:rPr>
        <w:t xml:space="preserve">  </w:t>
      </w:r>
      <w:r>
        <w:rPr>
          <w:spacing w:val="-2"/>
        </w:rPr>
        <w:t>and</w:t>
      </w:r>
      <w:r>
        <w:rPr>
          <w:spacing w:val="6"/>
        </w:rPr>
        <w:t xml:space="preserve">  </w:t>
      </w:r>
      <w:r>
        <w:rPr>
          <w:spacing w:val="-2"/>
        </w:rPr>
        <w:t>two-level</w:t>
      </w:r>
      <w:r>
        <w:rPr>
          <w:spacing w:val="8"/>
        </w:rPr>
        <w:t xml:space="preserve">  </w:t>
      </w:r>
      <w:r>
        <w:rPr>
          <w:spacing w:val="-2"/>
        </w:rPr>
        <w:t>system   into   percentile  syste</w:t>
      </w:r>
      <w:r>
        <w:rPr>
          <w:spacing w:val="-3"/>
        </w:rPr>
        <w:t>m.</w:t>
      </w:r>
      <w:r>
        <w:rPr>
          <w:spacing w:val="1"/>
        </w:rPr>
        <w:t xml:space="preserve"> </w:t>
      </w:r>
      <w:r>
        <w:rPr>
          <w:spacing w:val="-1"/>
        </w:rPr>
        <w:t>Excellent = 95, Good = 85,</w:t>
      </w:r>
      <w:r>
        <w:rPr>
          <w:spacing w:val="18"/>
          <w:w w:val="101"/>
        </w:rPr>
        <w:t xml:space="preserve"> </w:t>
      </w:r>
      <w:r>
        <w:rPr>
          <w:spacing w:val="-1"/>
        </w:rPr>
        <w:t>Medium</w:t>
      </w:r>
      <w:r>
        <w:rPr>
          <w:spacing w:val="9"/>
        </w:rPr>
        <w:t xml:space="preserve"> </w:t>
      </w:r>
      <w:r>
        <w:rPr>
          <w:spacing w:val="-1"/>
        </w:rPr>
        <w:t>=75,Pass</w:t>
      </w:r>
      <w:r>
        <w:rPr>
          <w:spacing w:val="9"/>
        </w:rPr>
        <w:t xml:space="preserve"> </w:t>
      </w:r>
      <w:r>
        <w:rPr>
          <w:spacing w:val="-1"/>
        </w:rPr>
        <w:t>=</w:t>
      </w:r>
      <w:r>
        <w:rPr>
          <w:spacing w:val="9"/>
        </w:rPr>
        <w:t xml:space="preserve"> </w:t>
      </w:r>
      <w:r>
        <w:rPr>
          <w:spacing w:val="-2"/>
        </w:rPr>
        <w:t>65,Qualified</w:t>
      </w:r>
      <w:r>
        <w:rPr>
          <w:spacing w:val="10"/>
        </w:rPr>
        <w:t xml:space="preserve"> </w:t>
      </w:r>
      <w:r>
        <w:rPr>
          <w:spacing w:val="-2"/>
        </w:rPr>
        <w:t>=85.</w:t>
      </w:r>
    </w:p>
    <w:p w14:paraId="20C724D5">
      <w:pPr>
        <w:pStyle w:val="2"/>
        <w:spacing w:before="113" w:line="277" w:lineRule="auto"/>
        <w:ind w:left="5" w:right="1716" w:hanging="3"/>
      </w:pPr>
      <w:r>
        <w:rPr>
          <w:spacing w:val="-2"/>
        </w:rPr>
        <w:t>Attr. = Attribute,</w:t>
      </w:r>
      <w:r>
        <w:rPr>
          <w:spacing w:val="19"/>
        </w:rPr>
        <w:t xml:space="preserve"> </w:t>
      </w:r>
      <w:r>
        <w:rPr>
          <w:spacing w:val="-2"/>
        </w:rPr>
        <w:t>Rebu. =</w:t>
      </w:r>
      <w:r>
        <w:rPr>
          <w:spacing w:val="16"/>
        </w:rPr>
        <w:t xml:space="preserve"> </w:t>
      </w:r>
      <w:r>
        <w:rPr>
          <w:spacing w:val="-2"/>
        </w:rPr>
        <w:t>Rebuild,</w:t>
      </w:r>
      <w:r>
        <w:rPr>
          <w:spacing w:val="10"/>
        </w:rPr>
        <w:t xml:space="preserve"> </w:t>
      </w:r>
      <w:r>
        <w:rPr>
          <w:spacing w:val="-2"/>
        </w:rPr>
        <w:t>Csgp. =</w:t>
      </w:r>
      <w:r>
        <w:rPr>
          <w:spacing w:val="11"/>
        </w:rPr>
        <w:t xml:space="preserve"> </w:t>
      </w:r>
      <w:r>
        <w:rPr>
          <w:spacing w:val="-2"/>
        </w:rPr>
        <w:t>Course</w:t>
      </w:r>
      <w:r>
        <w:rPr>
          <w:spacing w:val="9"/>
        </w:rPr>
        <w:t xml:space="preserve"> </w:t>
      </w:r>
      <w:r>
        <w:rPr>
          <w:spacing w:val="-2"/>
        </w:rPr>
        <w:t>score grad</w:t>
      </w:r>
      <w:r>
        <w:rPr>
          <w:spacing w:val="-3"/>
        </w:rPr>
        <w:t>e</w:t>
      </w:r>
      <w:r>
        <w:rPr>
          <w:spacing w:val="16"/>
          <w:w w:val="102"/>
        </w:rPr>
        <w:t xml:space="preserve"> </w:t>
      </w:r>
      <w:r>
        <w:rPr>
          <w:spacing w:val="-3"/>
        </w:rPr>
        <w:t>point,</w:t>
      </w:r>
      <w:r>
        <w:rPr>
          <w:spacing w:val="10"/>
        </w:rPr>
        <w:t xml:space="preserve"> </w:t>
      </w:r>
      <w:r>
        <w:rPr>
          <w:spacing w:val="-3"/>
        </w:rPr>
        <w:t>Comp.</w:t>
      </w:r>
      <w:r>
        <w:rPr>
          <w:spacing w:val="9"/>
        </w:rPr>
        <w:t xml:space="preserve"> </w:t>
      </w:r>
      <w:r>
        <w:rPr>
          <w:spacing w:val="-3"/>
        </w:rPr>
        <w:t>=</w:t>
      </w:r>
      <w:r>
        <w:rPr>
          <w:spacing w:val="8"/>
        </w:rPr>
        <w:t xml:space="preserve"> </w:t>
      </w:r>
      <w:r>
        <w:rPr>
          <w:spacing w:val="-3"/>
        </w:rPr>
        <w:t>Compulsory,</w:t>
      </w:r>
      <w:r>
        <w:t xml:space="preserve"> </w:t>
      </w:r>
      <w:r>
        <w:rPr>
          <w:spacing w:val="-2"/>
        </w:rPr>
        <w:t>SC. = Selective</w:t>
      </w:r>
      <w:r>
        <w:rPr>
          <w:spacing w:val="11"/>
        </w:rPr>
        <w:t xml:space="preserve"> </w:t>
      </w:r>
      <w:r>
        <w:rPr>
          <w:spacing w:val="-2"/>
        </w:rPr>
        <w:t>Course,</w:t>
      </w:r>
      <w:r>
        <w:rPr>
          <w:spacing w:val="10"/>
        </w:rPr>
        <w:t xml:space="preserve"> </w:t>
      </w:r>
      <w:r>
        <w:rPr>
          <w:spacing w:val="-2"/>
        </w:rPr>
        <w:t>Opti. =</w:t>
      </w:r>
      <w:r>
        <w:rPr>
          <w:spacing w:val="12"/>
          <w:w w:val="101"/>
        </w:rPr>
        <w:t xml:space="preserve"> </w:t>
      </w:r>
      <w:r>
        <w:rPr>
          <w:spacing w:val="-2"/>
        </w:rPr>
        <w:t>Optional Course,</w:t>
      </w:r>
      <w:r>
        <w:rPr>
          <w:spacing w:val="7"/>
        </w:rPr>
        <w:t xml:space="preserve"> </w:t>
      </w:r>
      <w:r>
        <w:rPr>
          <w:spacing w:val="-2"/>
        </w:rPr>
        <w:t>GPA</w:t>
      </w:r>
      <w:r>
        <w:rPr>
          <w:spacing w:val="8"/>
        </w:rPr>
        <w:t xml:space="preserve"> </w:t>
      </w:r>
      <w:r>
        <w:rPr>
          <w:spacing w:val="-2"/>
        </w:rPr>
        <w:t>=</w:t>
      </w:r>
      <w:r>
        <w:rPr>
          <w:spacing w:val="8"/>
        </w:rPr>
        <w:t xml:space="preserve"> </w:t>
      </w:r>
      <w:r>
        <w:rPr>
          <w:spacing w:val="-2"/>
        </w:rPr>
        <w:t>Grade</w:t>
      </w:r>
      <w:r>
        <w:rPr>
          <w:spacing w:val="18"/>
          <w:w w:val="101"/>
        </w:rPr>
        <w:t xml:space="preserve"> </w:t>
      </w:r>
      <w:r>
        <w:rPr>
          <w:spacing w:val="-2"/>
        </w:rPr>
        <w:t>Point</w:t>
      </w:r>
      <w:r>
        <w:rPr>
          <w:spacing w:val="2"/>
        </w:rPr>
        <w:t xml:space="preserve"> </w:t>
      </w:r>
      <w:r>
        <w:rPr>
          <w:spacing w:val="-2"/>
        </w:rPr>
        <w:t>Ave</w:t>
      </w:r>
      <w:r>
        <w:rPr>
          <w:spacing w:val="-3"/>
        </w:rPr>
        <w:t>rage</w:t>
      </w:r>
    </w:p>
    <w:p w14:paraId="3B0193D0">
      <w:pPr>
        <w:pStyle w:val="2"/>
        <w:spacing w:before="136" w:line="222" w:lineRule="auto"/>
        <w:ind w:left="16"/>
      </w:pPr>
      <w:r>
        <w:rPr>
          <w:rFonts w:ascii="Wingdings" w:hAnsi="Wingdings" w:eastAsia="Wingdings" w:cs="Wingdings"/>
          <w:spacing w:val="-1"/>
        </w:rPr>
        <w:t xml:space="preserve">u </w:t>
      </w:r>
      <w:r>
        <w:rPr>
          <w:spacing w:val="-1"/>
        </w:rPr>
        <w:t>This system</w:t>
      </w:r>
      <w:r>
        <w:rPr>
          <w:spacing w:val="14"/>
          <w:w w:val="101"/>
        </w:rPr>
        <w:t xml:space="preserve"> </w:t>
      </w:r>
      <w:r>
        <w:rPr>
          <w:spacing w:val="-1"/>
        </w:rPr>
        <w:t>is suitable f</w:t>
      </w:r>
      <w:r>
        <w:rPr>
          <w:spacing w:val="-2"/>
        </w:rPr>
        <w:t>or students</w:t>
      </w:r>
      <w:r>
        <w:rPr>
          <w:spacing w:val="8"/>
        </w:rPr>
        <w:t xml:space="preserve"> </w:t>
      </w:r>
      <w:r>
        <w:rPr>
          <w:spacing w:val="-2"/>
        </w:rPr>
        <w:t>enrolled</w:t>
      </w:r>
      <w:r>
        <w:rPr>
          <w:spacing w:val="10"/>
        </w:rPr>
        <w:t xml:space="preserve"> </w:t>
      </w:r>
      <w:r>
        <w:rPr>
          <w:spacing w:val="-2"/>
        </w:rPr>
        <w:t>after</w:t>
      </w:r>
      <w:r>
        <w:rPr>
          <w:spacing w:val="9"/>
        </w:rPr>
        <w:t xml:space="preserve"> </w:t>
      </w:r>
      <w:r>
        <w:rPr>
          <w:spacing w:val="-2"/>
        </w:rPr>
        <w:t>September</w:t>
      </w:r>
      <w:r>
        <w:rPr>
          <w:spacing w:val="10"/>
        </w:rPr>
        <w:t xml:space="preserve"> </w:t>
      </w:r>
      <w:r>
        <w:rPr>
          <w:spacing w:val="-2"/>
        </w:rPr>
        <w:t>2017.</w:t>
      </w:r>
    </w:p>
    <w:sectPr>
      <w:pgSz w:w="11907" w:h="16839"/>
      <w:pgMar w:top="1080" w:right="1279" w:bottom="0" w:left="136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6025181"/>
    <w:rsid w:val="448C6831"/>
    <w:rsid w:val="59074E83"/>
    <w:rsid w:val="5A4F4104"/>
    <w:rsid w:val="5FFD56FB"/>
    <w:rsid w:val="6D3D6C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Calibri" w:hAnsi="Calibri" w:eastAsia="Calibri" w:cs="Calibri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552</Words>
  <Characters>1482</Characters>
  <TotalTime>0</TotalTime>
  <ScaleCrop>false</ScaleCrop>
  <LinksUpToDate>false</LinksUpToDate>
  <CharactersWithSpaces>1705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2024-12-10T09:29:00Z</dcterms:created>
  <dc:creator>吴老师</dc:creator>
  <cp:lastModifiedBy>WPS 吴老师</cp:lastModifiedBy>
  <dcterms:modified xsi:type="dcterms:W3CDTF">2026-01-06T03:13:39Z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eyJoZGlkIjoiYjUxMTA5Njk4Y2Y4YzVkMDYzNmVkMjBkNTYxZWI5N2IiLCJ1c2VySWQiOiIxNTMwMjkxMjc1In0=</vt:lpwstr>
  </property>
  <property fmtid="{D5CDD505-2E9C-101B-9397-08002B2CF9AE}" pid="3" name="KSOProductBuildVer">
    <vt:lpwstr>2052-12.1.0.24034</vt:lpwstr>
  </property>
  <property fmtid="{D5CDD505-2E9C-101B-9397-08002B2CF9AE}" pid="4" name="ICV">
    <vt:lpwstr>F363C69073884BF6B0E41DCC4D9FBE9C_12</vt:lpwstr>
  </property>
</Properties>
</file>