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92" w:tblpY="2401"/>
        <w:tblOverlap w:val="never"/>
        <w:tblW w:w="83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76"/>
        <w:gridCol w:w="3500"/>
        <w:gridCol w:w="486"/>
        <w:gridCol w:w="546"/>
        <w:gridCol w:w="855"/>
        <w:gridCol w:w="486"/>
        <w:gridCol w:w="1241"/>
      </w:tblGrid>
      <w:tr w14:paraId="2E83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产品名称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8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参数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单位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预算单价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2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套数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单项预算小计</w:t>
            </w:r>
          </w:p>
        </w:tc>
      </w:tr>
      <w:tr w14:paraId="4D58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A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下柜1（石英石台面）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1.参考尺寸：2800*600*800mm；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2.基材：环保实木颗粒板；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3.五金：品牌五金，阻尼铰链。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米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A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1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1E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3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5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1D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下柜2（石英石台面）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B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1.参考尺寸：2100*600*800mm；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2.基材：环保实木颗粒板；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3.五金：品牌五金，阻尼铰链；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4.与燃气灶配套开孔。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米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D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5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9E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4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9D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吊柜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3B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1.参考尺寸：1200*320*800mm；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2.基材：环保实木颗粒板；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3.五金：品牌五金，阻尼铰链，铝合金拉手。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4.匹配油烟机安装需求，与油烟机配套整体美观。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C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组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9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7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B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C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6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D9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水池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6F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1.参考尺寸：680*390mm；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2.基材：304不锈钢；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3.配件：冷热进水管、防漏下水头、下水提笼、下水管、生料带等。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A9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5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5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E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5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水龙头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6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1.参考尺寸：常规；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2.水龙头为节水型水龙头。不锈钢材质、冷热双控、节能省水、耐用。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1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A1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E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D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8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7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合计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7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0173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rPr>
          <w:rFonts w:hint="eastAsia" w:eastAsia="宋体"/>
          <w:b/>
          <w:bCs w:val="0"/>
          <w:szCs w:val="36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芜湖学院25#楼橱柜采购项目</w:t>
      </w:r>
      <w:r>
        <w:rPr>
          <w:rFonts w:hint="eastAsia"/>
          <w:b/>
          <w:sz w:val="32"/>
          <w:szCs w:val="32"/>
        </w:rPr>
        <w:t>报价单</w:t>
      </w:r>
    </w:p>
    <w:p w14:paraId="086EA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/>
          <w:bCs w:val="0"/>
          <w:szCs w:val="36"/>
          <w:highlight w:val="none"/>
          <w:lang w:val="en-US" w:eastAsia="zh-CN"/>
        </w:rPr>
      </w:pPr>
      <w:r>
        <w:rPr>
          <w:rFonts w:hint="eastAsia"/>
          <w:b/>
          <w:bCs w:val="0"/>
          <w:szCs w:val="36"/>
          <w:highlight w:val="none"/>
          <w:lang w:val="en-US" w:eastAsia="zh-CN"/>
        </w:rPr>
        <w:t>注：</w:t>
      </w:r>
    </w:p>
    <w:p w14:paraId="02746A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18"/>
          <w:szCs w:val="18"/>
          <w:highlight w:val="none"/>
          <w:lang w:val="en-US" w:eastAsia="zh-CN"/>
        </w:rPr>
        <w:t>本项目1、2、3</w:t>
      </w:r>
      <w:r>
        <w:rPr>
          <w:rFonts w:hint="eastAsia" w:ascii="仿宋" w:hAnsi="仿宋" w:eastAsia="仿宋" w:cs="仿宋"/>
          <w:b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  <w14:ligatures w14:val="none"/>
        </w:rPr>
        <w:t>要求相同，只</w:t>
      </w:r>
      <w:r>
        <w:rPr>
          <w:rFonts w:hint="eastAsia" w:ascii="仿宋" w:hAnsi="仿宋" w:eastAsia="仿宋" w:cs="仿宋"/>
          <w:b/>
          <w:bCs w:val="0"/>
          <w:sz w:val="18"/>
          <w:szCs w:val="18"/>
          <w:highlight w:val="none"/>
          <w:lang w:val="en-US" w:eastAsia="zh-CN"/>
        </w:rPr>
        <w:t>须分别提供一份板材检测报告。</w:t>
      </w:r>
    </w:p>
    <w:p w14:paraId="2884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18"/>
          <w:szCs w:val="18"/>
          <w:highlight w:val="none"/>
          <w:lang w:val="en-US" w:eastAsia="zh-CN"/>
        </w:rPr>
        <w:t>2、本项目安装完成后，校方将委托第三方检测单位对表中橱柜进行甲醛释放量检测。如抽样检测不合格（即未达到GB/T18883-2002《室内空气质量标准》），限期20日内更换全部不合格产品并再次进行抽样检测，如仍不合格，采购人有权解除合同，中标人须承担由此造成的全部损失。（以上发生的送检及检测费用，全部由中标人支付。），抽检范围：22户中随机抽取2户。</w:t>
      </w:r>
    </w:p>
    <w:p w14:paraId="2E4F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szCs w:val="36"/>
        </w:rPr>
      </w:pPr>
      <w:r>
        <w:rPr>
          <w:rFonts w:hint="eastAsia" w:ascii="仿宋" w:hAnsi="仿宋" w:eastAsia="仿宋" w:cs="仿宋"/>
          <w:b/>
          <w:sz w:val="18"/>
          <w:szCs w:val="18"/>
          <w:lang w:val="en-US" w:eastAsia="zh-CN"/>
        </w:rPr>
        <w:t>3、</w:t>
      </w:r>
      <w:r>
        <w:rPr>
          <w:rFonts w:hint="eastAsia" w:ascii="仿宋" w:hAnsi="仿宋" w:eastAsia="仿宋" w:cs="仿宋"/>
          <w:b/>
          <w:sz w:val="18"/>
          <w:szCs w:val="18"/>
        </w:rPr>
        <w:t>以上价格含税（普通发票）及安装运输等费用。</w:t>
      </w:r>
    </w:p>
    <w:tbl>
      <w:tblPr>
        <w:tblStyle w:val="5"/>
        <w:tblpPr w:leftFromText="180" w:rightFromText="180" w:vertAnchor="page" w:horzAnchor="page" w:tblpX="1492" w:tblpY="13239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730"/>
      </w:tblGrid>
      <w:tr w14:paraId="1B9B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20" w:type="dxa"/>
            <w:vAlign w:val="center"/>
          </w:tcPr>
          <w:p w14:paraId="2335F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单位名称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盖章）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6730" w:type="dxa"/>
          </w:tcPr>
          <w:p w14:paraId="4FB94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sz w:val="18"/>
                <w:szCs w:val="18"/>
              </w:rPr>
            </w:pPr>
          </w:p>
        </w:tc>
      </w:tr>
      <w:tr w14:paraId="64EA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20" w:type="dxa"/>
            <w:vAlign w:val="top"/>
          </w:tcPr>
          <w:p w14:paraId="7C99B3E2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6730" w:type="dxa"/>
          </w:tcPr>
          <w:p w14:paraId="3DF3FF05">
            <w:pPr>
              <w:rPr>
                <w:sz w:val="18"/>
                <w:szCs w:val="18"/>
              </w:rPr>
            </w:pPr>
          </w:p>
        </w:tc>
      </w:tr>
      <w:tr w14:paraId="3830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20" w:type="dxa"/>
            <w:vAlign w:val="top"/>
          </w:tcPr>
          <w:p w14:paraId="588EAF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（大写）：</w:t>
            </w:r>
          </w:p>
        </w:tc>
        <w:tc>
          <w:tcPr>
            <w:tcW w:w="6730" w:type="dxa"/>
          </w:tcPr>
          <w:p w14:paraId="3AD5875E">
            <w:pPr>
              <w:rPr>
                <w:sz w:val="18"/>
                <w:szCs w:val="18"/>
              </w:rPr>
            </w:pPr>
          </w:p>
        </w:tc>
      </w:tr>
      <w:tr w14:paraId="1758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20" w:type="dxa"/>
            <w:vAlign w:val="top"/>
          </w:tcPr>
          <w:p w14:paraId="39C5B0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（小写）：</w:t>
            </w:r>
          </w:p>
        </w:tc>
        <w:tc>
          <w:tcPr>
            <w:tcW w:w="6730" w:type="dxa"/>
          </w:tcPr>
          <w:p w14:paraId="39FB5C27">
            <w:pPr>
              <w:rPr>
                <w:sz w:val="18"/>
                <w:szCs w:val="18"/>
              </w:rPr>
            </w:pPr>
          </w:p>
        </w:tc>
      </w:tr>
    </w:tbl>
    <w:p w14:paraId="11A07159"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08B81"/>
    <w:multiLevelType w:val="singleLevel"/>
    <w:tmpl w:val="EDF08B81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15217850"/>
    <w:rsid w:val="17EB5300"/>
    <w:rsid w:val="188E234A"/>
    <w:rsid w:val="3FFF7D45"/>
    <w:rsid w:val="54C042D0"/>
    <w:rsid w:val="5D815143"/>
    <w:rsid w:val="6758627D"/>
    <w:rsid w:val="6CE0240E"/>
    <w:rsid w:val="6ECD27B3"/>
    <w:rsid w:val="710E4D35"/>
    <w:rsid w:val="7FD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661</Words>
  <Characters>771</Characters>
  <Lines>1</Lines>
  <Paragraphs>1</Paragraphs>
  <TotalTime>5</TotalTime>
  <ScaleCrop>false</ScaleCrop>
  <LinksUpToDate>false</LinksUpToDate>
  <CharactersWithSpaces>771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欣辰爹</cp:lastModifiedBy>
  <dcterms:modified xsi:type="dcterms:W3CDTF">2026-01-04T04:23:00Z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DAFA6940D53D4FD6812F9CDFC2913AA0_12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